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600" w:lineRule="auto"/>
        <w:jc w:val="center"/>
        <w:rPr/>
      </w:pPr>
      <w:r w:rsidDel="00000000" w:rsidR="00000000" w:rsidRPr="00000000">
        <w:rPr>
          <w:b w:val="1"/>
          <w:bCs w:val="1"/>
          <w:color w:val="1f3864"/>
          <w:sz w:val="52"/>
          <w:szCs w:val="52"/>
          <w:rtl w:val="0"/>
        </w:rPr>
        <w:t xml:space="preserve">PANGEA LAB</w:t>
      </w:r>
      <w:r w:rsidDel="00000000" w:rsidR="00000000" w:rsidRPr="00000000">
        <w:rPr>
          <w:rtl w:val="0"/>
        </w:rPr>
      </w:r>
    </w:p>
    <w:p w:rsidR="00000000" w:rsidDel="00000000" w:rsidP="00000000" w:rsidRDefault="00000000" w:rsidRPr="00000000" w14:paraId="00000002">
      <w:pPr>
        <w:spacing w:after="100" w:lineRule="auto"/>
        <w:jc w:val="center"/>
        <w:rPr/>
      </w:pPr>
      <w:r w:rsidDel="00000000" w:rsidR="00000000" w:rsidRPr="00000000">
        <w:rPr>
          <w:i w:val="1"/>
          <w:iCs w:val="1"/>
          <w:color w:val="b08d57"/>
          <w:sz w:val="24"/>
          <w:szCs w:val="24"/>
          <w:rtl w:val="0"/>
        </w:rPr>
        <w:t xml:space="preserve">Plataforma de Pensamiento, Investigación y Acción Cultural</w:t>
      </w:r>
      <w:r w:rsidDel="00000000" w:rsidR="00000000" w:rsidRPr="00000000">
        <w:rPr>
          <w:rtl w:val="0"/>
        </w:rPr>
      </w:r>
    </w:p>
    <w:p w:rsidR="00000000" w:rsidDel="00000000" w:rsidP="00000000" w:rsidRDefault="00000000" w:rsidRPr="00000000" w14:paraId="00000003">
      <w:pPr>
        <w:spacing w:after="500" w:lineRule="auto"/>
        <w:jc w:val="center"/>
        <w:rPr/>
      </w:pPr>
      <w:r w:rsidDel="00000000" w:rsidR="00000000" w:rsidRPr="00000000">
        <w:rPr>
          <w:b w:val="1"/>
          <w:bCs w:val="1"/>
          <w:sz w:val="32"/>
          <w:szCs w:val="32"/>
          <w:rtl w:val="0"/>
        </w:rPr>
        <w:t xml:space="preserve">REGLAMENTO OFICIAL DEL DEBATE JUVENIL</w:t>
      </w:r>
      <w:r w:rsidDel="00000000" w:rsidR="00000000" w:rsidRPr="00000000">
        <w:rPr>
          <w:rtl w:val="0"/>
        </w:rPr>
      </w:r>
    </w:p>
    <w:p w:rsidR="00000000" w:rsidDel="00000000" w:rsidP="00000000" w:rsidRDefault="00000000" w:rsidRPr="00000000" w14:paraId="00000004">
      <w:pPr>
        <w:spacing w:after="800" w:lineRule="auto"/>
        <w:jc w:val="center"/>
        <w:rPr/>
      </w:pPr>
      <w:r w:rsidDel="00000000" w:rsidR="00000000" w:rsidRPr="00000000">
        <w:rPr>
          <w:color w:val="595959"/>
          <w:sz w:val="24"/>
          <w:szCs w:val="24"/>
          <w:rtl w:val="0"/>
        </w:rPr>
        <w:t xml:space="preserve">Estructura, reglas de juego y criterios de evaluación</w:t>
      </w:r>
      <w:r w:rsidDel="00000000" w:rsidR="00000000" w:rsidRPr="00000000">
        <w:rPr>
          <w:rtl w:val="0"/>
        </w:rPr>
      </w:r>
    </w:p>
    <w:p w:rsidR="00000000" w:rsidDel="00000000" w:rsidP="00000000" w:rsidRDefault="00000000" w:rsidRPr="00000000" w14:paraId="00000005">
      <w:pPr>
        <w:pBdr>
          <w:bottom w:color="b08d57" w:space="4" w:sz="8" w:val="single"/>
        </w:pBdr>
        <w:spacing w:after="300" w:lineRule="auto"/>
        <w:rPr/>
      </w:pPr>
      <w:r w:rsidDel="00000000" w:rsidR="00000000" w:rsidRPr="00000000">
        <w:rPr>
          <w:rtl w:val="0"/>
        </w:rPr>
      </w:r>
    </w:p>
    <w:p w:rsidR="00000000" w:rsidDel="00000000" w:rsidP="00000000" w:rsidRDefault="00000000" w:rsidRPr="00000000" w14:paraId="00000006">
      <w:pPr>
        <w:pStyle w:val="Heading1"/>
        <w:spacing w:after="200" w:before="400" w:lineRule="auto"/>
        <w:rPr/>
      </w:pPr>
      <w:r w:rsidDel="00000000" w:rsidR="00000000" w:rsidRPr="00000000">
        <w:rPr>
          <w:b w:val="1"/>
          <w:bCs w:val="1"/>
          <w:color w:val="1f3864"/>
          <w:sz w:val="30"/>
          <w:szCs w:val="30"/>
          <w:rtl w:val="0"/>
        </w:rPr>
        <w:t xml:space="preserve">1. ¿Qué es Pangea Lab?</w:t>
      </w:r>
      <w:r w:rsidDel="00000000" w:rsidR="00000000" w:rsidRPr="00000000">
        <w:rPr>
          <w:rtl w:val="0"/>
        </w:rPr>
      </w:r>
    </w:p>
    <w:p w:rsidR="00000000" w:rsidDel="00000000" w:rsidP="00000000" w:rsidRDefault="00000000" w:rsidRPr="00000000" w14:paraId="00000007">
      <w:pPr>
        <w:spacing w:after="150" w:line="300" w:lineRule="auto"/>
        <w:rPr/>
      </w:pPr>
      <w:r w:rsidDel="00000000" w:rsidR="00000000" w:rsidRPr="00000000">
        <w:rPr>
          <w:sz w:val="22"/>
          <w:szCs w:val="22"/>
          <w:rtl w:val="0"/>
        </w:rPr>
        <w:t xml:space="preserve">Pangea Lab es una plataforma de pensamiento, investigación y acción cultural dedicada a comprender, documentar y fortalecer la identidad dominicana desde una perspectiva interdisciplinaria. Inspirado en la idea de Pangea como el gran continente original, el proyecto parte de la convicción de que el conocimiento debe conectar territorios, disciplinas y generaciones para construir una visión más amplia de quiénes somos y hacia dónde podemos avanzar como sociedad.</w:t>
      </w:r>
      <w:r w:rsidDel="00000000" w:rsidR="00000000" w:rsidRPr="00000000">
        <w:rPr>
          <w:rtl w:val="0"/>
        </w:rPr>
      </w:r>
    </w:p>
    <w:p w:rsidR="00000000" w:rsidDel="00000000" w:rsidP="00000000" w:rsidRDefault="00000000" w:rsidRPr="00000000" w14:paraId="00000008">
      <w:pPr>
        <w:spacing w:after="150" w:line="300" w:lineRule="auto"/>
        <w:rPr/>
      </w:pPr>
      <w:r w:rsidDel="00000000" w:rsidR="00000000" w:rsidRPr="00000000">
        <w:rPr>
          <w:sz w:val="22"/>
          <w:szCs w:val="22"/>
          <w:rtl w:val="0"/>
        </w:rPr>
        <w:t xml:space="preserve">Su enfoque integra antropología, sociología, historia, patrimonio, cultura, innovación y participación juvenil para generar investigaciones, publicaciones, programas educativos, debates públicos y proyectos de impacto social.</w:t>
      </w:r>
      <w:r w:rsidDel="00000000" w:rsidR="00000000" w:rsidRPr="00000000">
        <w:rPr>
          <w:rtl w:val="0"/>
        </w:rPr>
      </w:r>
    </w:p>
    <w:p w:rsidR="00000000" w:rsidDel="00000000" w:rsidP="00000000" w:rsidRDefault="00000000" w:rsidRPr="00000000" w14:paraId="00000009">
      <w:pPr>
        <w:pStyle w:val="Heading3"/>
        <w:spacing w:after="100" w:before="200" w:lineRule="auto"/>
        <w:rPr/>
      </w:pPr>
      <w:r w:rsidDel="00000000" w:rsidR="00000000" w:rsidRPr="00000000">
        <w:rPr>
          <w:b w:val="1"/>
          <w:bCs w:val="1"/>
          <w:color w:val="b08d57"/>
          <w:sz w:val="22"/>
          <w:szCs w:val="22"/>
          <w:rtl w:val="0"/>
        </w:rPr>
        <w:t xml:space="preserve">Metodología Pangea Lab</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Comprender: investigar y analizar las ideas que moldean nuestra realidad.</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Conversar: debatir con respeto, pensamiento crítico y diversidad de perspectivas.</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Construir: transformar la reflexión en propuestas, liderazgo y acción cultural.</w:t>
      </w:r>
      <w:r w:rsidDel="00000000" w:rsidR="00000000" w:rsidRPr="00000000">
        <w:rPr>
          <w:rtl w:val="0"/>
        </w:rPr>
      </w:r>
    </w:p>
    <w:p w:rsidR="00000000" w:rsidDel="00000000" w:rsidP="00000000" w:rsidRDefault="00000000" w:rsidRPr="00000000" w14:paraId="0000000D">
      <w:pPr>
        <w:pStyle w:val="Heading1"/>
        <w:spacing w:after="200" w:before="400" w:lineRule="auto"/>
        <w:rPr/>
      </w:pPr>
      <w:r w:rsidDel="00000000" w:rsidR="00000000" w:rsidRPr="00000000">
        <w:rPr>
          <w:b w:val="1"/>
          <w:bCs w:val="1"/>
          <w:color w:val="1f3864"/>
          <w:sz w:val="30"/>
          <w:szCs w:val="30"/>
          <w:rtl w:val="0"/>
        </w:rPr>
        <w:t xml:space="preserve">2. Objetivo General del Debate</w:t>
      </w:r>
      <w:r w:rsidDel="00000000" w:rsidR="00000000" w:rsidRPr="00000000">
        <w:rPr>
          <w:rtl w:val="0"/>
        </w:rPr>
      </w:r>
    </w:p>
    <w:p w:rsidR="00000000" w:rsidDel="00000000" w:rsidP="00000000" w:rsidRDefault="00000000" w:rsidRPr="00000000" w14:paraId="0000000E">
      <w:pPr>
        <w:spacing w:after="150" w:line="300" w:lineRule="auto"/>
        <w:rPr/>
      </w:pPr>
      <w:r w:rsidDel="00000000" w:rsidR="00000000" w:rsidRPr="00000000">
        <w:rPr>
          <w:sz w:val="22"/>
          <w:szCs w:val="22"/>
          <w:rtl w:val="0"/>
        </w:rPr>
        <w:t xml:space="preserve">Este espacio de debate tiene como propósito principal generar, a partir de los argumentos, evidencias y propuestas presentadas por los jóvenes participantes, una base de datos de conclusiones y recomendaciones dirigida al Ministerio de Cultura.</w:t>
      </w:r>
      <w:r w:rsidDel="00000000" w:rsidR="00000000" w:rsidRPr="00000000">
        <w:rPr>
          <w:rtl w:val="0"/>
        </w:rPr>
      </w:r>
    </w:p>
    <w:p w:rsidR="00000000" w:rsidDel="00000000" w:rsidP="00000000" w:rsidRDefault="00000000" w:rsidRPr="00000000" w14:paraId="0000000F">
      <w:pPr>
        <w:spacing w:after="150" w:line="300" w:lineRule="auto"/>
        <w:rPr/>
      </w:pPr>
      <w:r w:rsidDel="00000000" w:rsidR="00000000" w:rsidRPr="00000000">
        <w:rPr>
          <w:sz w:val="22"/>
          <w:szCs w:val="22"/>
          <w:rtl w:val="0"/>
        </w:rPr>
        <w:t xml:space="preserve">El debate funciona como una mesa de diálogo juvenil: a través de sus argumentos, sus investigaciones y sus puntos de vista, los participantes construyen insumos concretos que buscan mejorar la manera en que la agenda cultural del país representa e incorpora las perspectivas, necesidades e intereses de la juventud dominicana.</w:t>
      </w:r>
      <w:r w:rsidDel="00000000" w:rsidR="00000000" w:rsidRPr="00000000">
        <w:rPr>
          <w:rtl w:val="0"/>
        </w:rPr>
      </w:r>
    </w:p>
    <w:p w:rsidR="00000000" w:rsidDel="00000000" w:rsidP="00000000" w:rsidRDefault="00000000" w:rsidRPr="00000000" w14:paraId="00000010">
      <w:pPr>
        <w:spacing w:after="150" w:line="300" w:lineRule="auto"/>
        <w:rPr/>
      </w:pPr>
      <w:r w:rsidDel="00000000" w:rsidR="00000000" w:rsidRPr="00000000">
        <w:rPr>
          <w:sz w:val="22"/>
          <w:szCs w:val="22"/>
          <w:rtl w:val="0"/>
        </w:rPr>
        <w:t xml:space="preserve">En otras palabras, el objetivo no es solo competir, sino producir conocimiento colectivo aprovechable: cada ronda, cada pregunta y cada recomendación alimentan una relatoría final que podrá ser presentada a las autoridades competentes como insumo real para el diseño de políticas públicas culturales.</w:t>
      </w:r>
      <w:r w:rsidDel="00000000" w:rsidR="00000000" w:rsidRPr="00000000">
        <w:rPr>
          <w:rtl w:val="0"/>
        </w:rPr>
      </w:r>
    </w:p>
    <w:p w:rsidR="00000000" w:rsidDel="00000000" w:rsidP="00000000" w:rsidRDefault="00000000" w:rsidRPr="00000000" w14:paraId="00000011">
      <w:pPr>
        <w:pStyle w:val="Heading1"/>
        <w:spacing w:after="200" w:before="400" w:lineRule="auto"/>
        <w:rPr/>
      </w:pPr>
      <w:r w:rsidDel="00000000" w:rsidR="00000000" w:rsidRPr="00000000">
        <w:rPr>
          <w:b w:val="1"/>
          <w:bCs w:val="1"/>
          <w:color w:val="1f3864"/>
          <w:sz w:val="30"/>
          <w:szCs w:val="30"/>
          <w:rtl w:val="0"/>
        </w:rPr>
        <w:t xml:space="preserve">3. Fase Previa: Selección del Tema e Investigación</w:t>
      </w:r>
      <w:r w:rsidDel="00000000" w:rsidR="00000000" w:rsidRPr="00000000">
        <w:rPr>
          <w:rtl w:val="0"/>
        </w:rPr>
      </w:r>
    </w:p>
    <w:p w:rsidR="00000000" w:rsidDel="00000000" w:rsidP="00000000" w:rsidRDefault="00000000" w:rsidRPr="00000000" w14:paraId="00000012">
      <w:pPr>
        <w:pStyle w:val="Heading3"/>
        <w:spacing w:after="100" w:before="200" w:lineRule="auto"/>
        <w:rPr/>
      </w:pPr>
      <w:r w:rsidDel="00000000" w:rsidR="00000000" w:rsidRPr="00000000">
        <w:rPr>
          <w:b w:val="1"/>
          <w:bCs w:val="1"/>
          <w:color w:val="b08d57"/>
          <w:sz w:val="22"/>
          <w:szCs w:val="22"/>
          <w:rtl w:val="0"/>
        </w:rPr>
        <w:t xml:space="preserve">3.1 Selección del tema</w:t>
      </w:r>
      <w:r w:rsidDel="00000000" w:rsidR="00000000" w:rsidRPr="00000000">
        <w:rPr>
          <w:rtl w:val="0"/>
        </w:rPr>
      </w:r>
    </w:p>
    <w:p w:rsidR="00000000" w:rsidDel="00000000" w:rsidP="00000000" w:rsidRDefault="00000000" w:rsidRPr="00000000" w14:paraId="00000013">
      <w:pPr>
        <w:spacing w:after="150" w:line="300" w:lineRule="auto"/>
        <w:rPr/>
      </w:pPr>
      <w:r w:rsidDel="00000000" w:rsidR="00000000" w:rsidRPr="00000000">
        <w:rPr>
          <w:sz w:val="22"/>
          <w:szCs w:val="22"/>
          <w:rtl w:val="0"/>
        </w:rPr>
        <w:t xml:space="preserve">La organización selecciona un tema de interés nacional y lo presenta en forma de pregunta neutral, que servirá como base de análisis y punto de partida investigativo para todos los participantes.</w:t>
      </w:r>
      <w:r w:rsidDel="00000000" w:rsidR="00000000" w:rsidRPr="00000000">
        <w:rPr>
          <w:rtl w:val="0"/>
        </w:rPr>
      </w:r>
    </w:p>
    <w:p w:rsidR="00000000" w:rsidDel="00000000" w:rsidP="00000000" w:rsidRDefault="00000000" w:rsidRPr="00000000" w14:paraId="00000014">
      <w:pPr>
        <w:pStyle w:val="Heading3"/>
        <w:spacing w:after="100" w:before="200" w:lineRule="auto"/>
        <w:rPr/>
      </w:pPr>
      <w:r w:rsidDel="00000000" w:rsidR="00000000" w:rsidRPr="00000000">
        <w:rPr>
          <w:b w:val="1"/>
          <w:bCs w:val="1"/>
          <w:color w:val="b08d57"/>
          <w:sz w:val="22"/>
          <w:szCs w:val="22"/>
          <w:rtl w:val="0"/>
        </w:rPr>
        <w:t xml:space="preserve">3.2 Inscripción y formación de equipos</w:t>
      </w:r>
      <w:r w:rsidDel="00000000" w:rsidR="00000000" w:rsidRPr="00000000">
        <w:rPr>
          <w:rtl w:val="0"/>
        </w:rPr>
      </w:r>
    </w:p>
    <w:p w:rsidR="00000000" w:rsidDel="00000000" w:rsidP="00000000" w:rsidRDefault="00000000" w:rsidRPr="00000000" w14:paraId="00000015">
      <w:pPr>
        <w:spacing w:after="150" w:line="300" w:lineRule="auto"/>
        <w:rPr/>
      </w:pPr>
      <w:r w:rsidDel="00000000" w:rsidR="00000000" w:rsidRPr="00000000">
        <w:rPr>
          <w:sz w:val="22"/>
          <w:szCs w:val="22"/>
          <w:rtl w:val="0"/>
        </w:rPr>
        <w:t xml:space="preserve">Los participantes se inscriben y se dividen en dos grandes equipos: uno que investigará y argumentará a favor frente a la pregunta central, y otro que investigará y argumentará la postura en contra. </w:t>
      </w:r>
      <w:r w:rsidDel="00000000" w:rsidR="00000000" w:rsidRPr="00000000">
        <w:rPr>
          <w:rtl w:val="0"/>
        </w:rPr>
      </w:r>
    </w:p>
    <w:p w:rsidR="00000000" w:rsidDel="00000000" w:rsidP="00000000" w:rsidRDefault="00000000" w:rsidRPr="00000000" w14:paraId="00000016">
      <w:pPr>
        <w:pStyle w:val="Heading3"/>
        <w:spacing w:after="100" w:before="200" w:lineRule="auto"/>
        <w:rPr/>
      </w:pPr>
      <w:r w:rsidDel="00000000" w:rsidR="00000000" w:rsidRPr="00000000">
        <w:rPr>
          <w:b w:val="1"/>
          <w:bCs w:val="1"/>
          <w:color w:val="b08d57"/>
          <w:sz w:val="22"/>
          <w:szCs w:val="22"/>
          <w:rtl w:val="0"/>
        </w:rPr>
        <w:t xml:space="preserve">3.3 Periodo de investigación</w:t>
      </w:r>
      <w:r w:rsidDel="00000000" w:rsidR="00000000" w:rsidRPr="00000000">
        <w:rPr>
          <w:rtl w:val="0"/>
        </w:rPr>
      </w:r>
    </w:p>
    <w:p w:rsidR="00000000" w:rsidDel="00000000" w:rsidP="00000000" w:rsidRDefault="00000000" w:rsidRPr="00000000" w14:paraId="00000017">
      <w:pPr>
        <w:spacing w:after="150" w:line="300" w:lineRule="auto"/>
        <w:rPr/>
      </w:pPr>
      <w:r w:rsidDel="00000000" w:rsidR="00000000" w:rsidRPr="00000000">
        <w:rPr>
          <w:sz w:val="22"/>
          <w:szCs w:val="22"/>
          <w:rtl w:val="0"/>
        </w:rPr>
        <w:t xml:space="preserve">A partir de la confirmación de los equipos, comienza oficialmente el tiempo de investigación. Durante los días previos al debate, cada participante deberá investigar y preparar argumentos y evidencias para AMBAS posturas (a favor y en contra), ya que el rol definitivo —qué postura defenderá cada equipo— se asignará al azar el mismo día del encuentro.</w:t>
      </w:r>
      <w:r w:rsidDel="00000000" w:rsidR="00000000" w:rsidRPr="00000000">
        <w:rPr>
          <w:rtl w:val="0"/>
        </w:rPr>
      </w:r>
    </w:p>
    <w:p w:rsidR="00000000" w:rsidDel="00000000" w:rsidP="00000000" w:rsidRDefault="00000000" w:rsidRPr="00000000" w14:paraId="00000018">
      <w:pPr>
        <w:spacing w:after="150" w:line="300" w:lineRule="auto"/>
        <w:rPr/>
      </w:pPr>
      <w:r w:rsidDel="00000000" w:rsidR="00000000" w:rsidRPr="00000000">
        <w:rPr>
          <w:sz w:val="22"/>
          <w:szCs w:val="22"/>
          <w:rtl w:val="0"/>
        </w:rPr>
        <w:t xml:space="preserve">Se recomienda que, durante esta fase, cada participante recopile mínimo:</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fuentes o datos de evidencia por cada postura (positiva y negativa).</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caso de referencia (nacional o internacional) que respalde cada postura.</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propuesta preliminar de recomendación de política pública vinculada al tema.</w:t>
      </w:r>
      <w:r w:rsidDel="00000000" w:rsidR="00000000" w:rsidRPr="00000000">
        <w:rPr>
          <w:rtl w:val="0"/>
        </w:rPr>
      </w:r>
    </w:p>
    <w:p w:rsidR="00000000" w:rsidDel="00000000" w:rsidP="00000000" w:rsidRDefault="00000000" w:rsidRPr="00000000" w14:paraId="0000001C">
      <w:pPr>
        <w:pStyle w:val="Heading3"/>
        <w:spacing w:after="100" w:before="200" w:lineRule="auto"/>
        <w:rPr/>
      </w:pPr>
      <w:r w:rsidDel="00000000" w:rsidR="00000000" w:rsidRPr="00000000">
        <w:rPr>
          <w:b w:val="1"/>
          <w:bCs w:val="1"/>
          <w:color w:val="b08d57"/>
          <w:sz w:val="22"/>
          <w:szCs w:val="22"/>
          <w:rtl w:val="0"/>
        </w:rPr>
        <w:t xml:space="preserve">3.4 Asignación de roles el día del evento</w:t>
      </w:r>
      <w:r w:rsidDel="00000000" w:rsidR="00000000" w:rsidRPr="00000000">
        <w:rPr>
          <w:rtl w:val="0"/>
        </w:rPr>
      </w:r>
    </w:p>
    <w:p w:rsidR="00000000" w:rsidDel="00000000" w:rsidP="00000000" w:rsidRDefault="00000000" w:rsidRPr="00000000" w14:paraId="0000001D">
      <w:pPr>
        <w:spacing w:after="150" w:line="300" w:lineRule="auto"/>
        <w:rPr/>
      </w:pPr>
      <w:r w:rsidDel="00000000" w:rsidR="00000000" w:rsidRPr="00000000">
        <w:rPr>
          <w:sz w:val="22"/>
          <w:szCs w:val="22"/>
          <w:rtl w:val="0"/>
        </w:rPr>
        <w:t xml:space="preserve">El día del debate se asigna aleatoriamente qué equipo defenderá favor y cuál en contra. Inmediatamente después, cada equipo se organiza en duplas (parejas de debate) que compartirán una misma postura a lo largo de las rondas.</w:t>
      </w:r>
      <w:r w:rsidDel="00000000" w:rsidR="00000000" w:rsidRPr="00000000">
        <w:rPr>
          <w:rtl w:val="0"/>
        </w:rPr>
      </w:r>
    </w:p>
    <w:p w:rsidR="00000000" w:rsidDel="00000000" w:rsidP="00000000" w:rsidRDefault="00000000" w:rsidRPr="00000000" w14:paraId="0000001E">
      <w:pPr>
        <w:pStyle w:val="Heading1"/>
        <w:spacing w:after="200" w:before="400" w:lineRule="auto"/>
        <w:rPr/>
      </w:pPr>
      <w:r w:rsidDel="00000000" w:rsidR="00000000" w:rsidRPr="00000000">
        <w:rPr>
          <w:b w:val="1"/>
          <w:bCs w:val="1"/>
          <w:color w:val="1f3864"/>
          <w:sz w:val="30"/>
          <w:szCs w:val="30"/>
          <w:rtl w:val="0"/>
        </w:rPr>
        <w:t xml:space="preserve">4. Estructura General del Evento</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Participantes: 40 jóvenes, organizados en 20 duplas (10 duplas por postura</w:t>
      </w:r>
      <w:r w:rsidDel="00000000" w:rsidR="00000000" w:rsidRPr="00000000">
        <w:rPr>
          <w:sz w:val="22"/>
          <w:szCs w:val="22"/>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Espacio: todos los participantes permanecen en una misma sala durante todo el evento.</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Rondas: 4 rondas en total — 3 rondas eliminatorias/clasificatorias y 1 ronda final.</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Tiempo de intervención: 2 minutos por turno de habla.</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Receso entre rondas: 10 minutos, usados para tabulación de jueces</w:t>
      </w:r>
      <w:r w:rsidDel="00000000" w:rsidR="00000000" w:rsidRPr="00000000">
        <w:rPr>
          <w:sz w:val="22"/>
          <w:szCs w:val="22"/>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y preparación de las duplas para la siguiente ronda.</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Avance a la final: al cierre de la Ronda 3, se suman los puntajes acumulados de las tres rondas y las 8 duplas con mayor puntaje avanzan a la Ronda 4 (Final).</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80" w:lineRule="auto"/>
        <w:ind w:left="720" w:right="0" w:firstLine="0"/>
        <w:jc w:val="left"/>
        <w:rPr>
          <w:sz w:val="22"/>
          <w:szCs w:val="22"/>
        </w:rPr>
      </w:pPr>
      <w:r w:rsidDel="00000000" w:rsidR="00000000" w:rsidRPr="00000000">
        <w:rPr>
          <w:rtl w:val="0"/>
        </w:rPr>
      </w:r>
    </w:p>
    <w:p w:rsidR="00000000" w:rsidDel="00000000" w:rsidP="00000000" w:rsidRDefault="00000000" w:rsidRPr="00000000" w14:paraId="00000026">
      <w:pPr>
        <w:spacing w:after="150" w:line="300" w:lineRule="auto"/>
        <w:rPr/>
      </w:pPr>
      <w:r w:rsidDel="00000000" w:rsidR="00000000" w:rsidRPr="00000000">
        <w:rPr>
          <w:sz w:val="22"/>
          <w:szCs w:val="22"/>
          <w:rtl w:val="0"/>
        </w:rPr>
        <w:t xml:space="preserve">Regla de rotación de debatientes: cada dupla está compuesta por 2 personas. La persona que interviene en la Ronda 1 no puede volver a intervenir en la Ronda 2 (le corresponde a su compañero), pero sí puede volver a intervenir en la Ronda 3.</w:t>
      </w:r>
      <w:r w:rsidDel="00000000" w:rsidR="00000000" w:rsidRPr="00000000">
        <w:rPr>
          <w:rtl w:val="0"/>
        </w:rPr>
      </w:r>
    </w:p>
    <w:p w:rsidR="00000000" w:rsidDel="00000000" w:rsidP="00000000" w:rsidRDefault="00000000" w:rsidRPr="00000000" w14:paraId="00000027">
      <w:pPr>
        <w:pStyle w:val="Heading1"/>
        <w:spacing w:after="200" w:before="400" w:lineRule="auto"/>
        <w:rPr/>
      </w:pPr>
      <w:r w:rsidDel="00000000" w:rsidR="00000000" w:rsidRPr="00000000">
        <w:rPr>
          <w:b w:val="1"/>
          <w:bCs w:val="1"/>
          <w:color w:val="1f3864"/>
          <w:sz w:val="30"/>
          <w:szCs w:val="30"/>
          <w:rtl w:val="0"/>
        </w:rPr>
        <w:t xml:space="preserve">5. Desarrollo de las Rondas</w:t>
      </w:r>
      <w:r w:rsidDel="00000000" w:rsidR="00000000" w:rsidRPr="00000000">
        <w:rPr>
          <w:rtl w:val="0"/>
        </w:rPr>
      </w:r>
    </w:p>
    <w:p w:rsidR="00000000" w:rsidDel="00000000" w:rsidP="00000000" w:rsidRDefault="00000000" w:rsidRPr="00000000" w14:paraId="00000028">
      <w:pPr>
        <w:pStyle w:val="Heading2"/>
        <w:spacing w:after="150" w:before="300" w:lineRule="auto"/>
        <w:rPr/>
      </w:pPr>
      <w:r w:rsidDel="00000000" w:rsidR="00000000" w:rsidRPr="00000000">
        <w:rPr>
          <w:b w:val="1"/>
          <w:bCs w:val="1"/>
          <w:color w:val="1f3864"/>
          <w:sz w:val="25"/>
          <w:szCs w:val="25"/>
          <w:rtl w:val="0"/>
        </w:rPr>
        <w:t xml:space="preserve">Ronda 1 — Pregunta de Investigación</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Duración por turno: 2 minutos.</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Interviene: el primer debatiente de cada dupla.</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Dinámica: la mesa directiva (panel de jueces) formula una pregunta/ </w:t>
      </w:r>
      <w:r w:rsidDel="00000000" w:rsidR="00000000" w:rsidRPr="00000000">
        <w:rPr>
          <w:sz w:val="22"/>
          <w:szCs w:val="22"/>
          <w:rtl w:val="0"/>
        </w:rPr>
        <w:t xml:space="preserve">moción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puntual de investigación relacionada con el tema central. El debatiente debe responder con argumentos y evidencia concreta, defendiendo la postura asignada a su equipo.</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Qué se evalúa: dominio del tema, calidad de las fuentes citadas y estructura del argumento dentro del tiempo.</w:t>
      </w:r>
      <w:r w:rsidDel="00000000" w:rsidR="00000000" w:rsidRPr="00000000">
        <w:rPr>
          <w:rtl w:val="0"/>
        </w:rPr>
      </w:r>
    </w:p>
    <w:p w:rsidR="00000000" w:rsidDel="00000000" w:rsidP="00000000" w:rsidRDefault="00000000" w:rsidRPr="00000000" w14:paraId="0000002D">
      <w:pPr>
        <w:pStyle w:val="Heading2"/>
        <w:spacing w:after="150" w:before="300" w:lineRule="auto"/>
        <w:rPr/>
      </w:pPr>
      <w:r w:rsidDel="00000000" w:rsidR="00000000" w:rsidRPr="00000000">
        <w:rPr>
          <w:b w:val="1"/>
          <w:bCs w:val="1"/>
          <w:color w:val="1f3864"/>
          <w:sz w:val="25"/>
          <w:szCs w:val="25"/>
          <w:rtl w:val="0"/>
        </w:rPr>
        <w:t xml:space="preserve">Ronda 2 — Pregunta Analítica</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Duración por turno: 2 minutos.</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Interviene: el segundo debatiente de cada dupla (el que no participó en la Ronda 1).</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Dinámica: la mesa directiva formula una nueva pregunta, esta vez de carácter más analítico —que exige comparar, proyectar consecuencias o profundizar en matices del tema—, siempre en defensa de la misma postura asignada al equipo.</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Qué se evalúa: profundidad analítica, pertinencia cultural del argumento y persuasión.</w:t>
      </w:r>
      <w:r w:rsidDel="00000000" w:rsidR="00000000" w:rsidRPr="00000000">
        <w:rPr>
          <w:rtl w:val="0"/>
        </w:rPr>
      </w:r>
    </w:p>
    <w:p w:rsidR="00000000" w:rsidDel="00000000" w:rsidP="00000000" w:rsidRDefault="00000000" w:rsidRPr="00000000" w14:paraId="00000032">
      <w:pPr>
        <w:pStyle w:val="Heading2"/>
        <w:spacing w:after="150" w:before="300" w:lineRule="auto"/>
        <w:rPr/>
      </w:pPr>
      <w:r w:rsidDel="00000000" w:rsidR="00000000" w:rsidRPr="00000000">
        <w:rPr>
          <w:b w:val="1"/>
          <w:bCs w:val="1"/>
          <w:color w:val="1f3864"/>
          <w:sz w:val="25"/>
          <w:szCs w:val="25"/>
          <w:rtl w:val="0"/>
        </w:rPr>
        <w:t xml:space="preserve">Ronda 3 — Gran Crossfire</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Formato: en vez de que los jueces formulen la pregunta, esta ronda es un crossfire abierto entre las duplas.</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Interviene: ambos integrantes pueden participar, ya que la ronda se centra en el intercambio directo pregunta-respuesta entre debatientes de posturas opuestas.</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Dinámica: cada dupla dirige preguntas directas a una dupla contraria y recibe preguntas de vuelta, dentro de bloques cronometrados moderados por la mesa directiva. Los jueces no formulan preguntas; su función es moderar el orden de intervención y evaluar el intercambio.</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Qué se evalúa: calidad y pertinencia de las preguntas formuladas, capacidad de refutación, solidez de las respuestas bajo presión y manejo del tiempo.</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Cierre de la fase clasificatoria: al finalizar esta ronda, se suman los puntajes de las Rondas 1, 2 y 3. Las 8 duplas (16 personas) con mayor puntaje acumulado avanzan a la Ronda 4.</w:t>
      </w:r>
      <w:r w:rsidDel="00000000" w:rsidR="00000000" w:rsidRPr="00000000">
        <w:rPr>
          <w:rtl w:val="0"/>
        </w:rPr>
      </w:r>
    </w:p>
    <w:p w:rsidR="00000000" w:rsidDel="00000000" w:rsidP="00000000" w:rsidRDefault="00000000" w:rsidRPr="00000000" w14:paraId="00000038">
      <w:pPr>
        <w:pStyle w:val="Heading2"/>
        <w:spacing w:after="150" w:before="300" w:lineRule="auto"/>
        <w:rPr/>
      </w:pPr>
      <w:r w:rsidDel="00000000" w:rsidR="00000000" w:rsidRPr="00000000">
        <w:rPr>
          <w:b w:val="1"/>
          <w:bCs w:val="1"/>
          <w:color w:val="1f3864"/>
          <w:sz w:val="25"/>
          <w:szCs w:val="25"/>
          <w:rtl w:val="0"/>
        </w:rPr>
        <w:t xml:space="preserve">Ronda 4 — Final: Foro de Recomendaciones de Política Pública</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Participan: las 8 duplas finalistas (16 personas), frente al resto de los participantes y el público en la misma sala.</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Objetivo de la ronda: transformar todo lo investigado y debatido en una recomendación concreta de política pública para el Ministerio de Cultura.</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Estructura de la ronda: se organiza en dos bloques  por orador, no por dupla aislada.</w:t>
      </w:r>
      <w:r w:rsidDel="00000000" w:rsidR="00000000" w:rsidRPr="00000000">
        <w:rPr>
          <w:rtl w:val="0"/>
        </w:rPr>
      </w:r>
    </w:p>
    <w:p w:rsidR="00000000" w:rsidDel="00000000" w:rsidP="00000000" w:rsidRDefault="00000000" w:rsidRPr="00000000" w14:paraId="0000003C">
      <w:pPr>
        <w:spacing w:after="100" w:lineRule="auto"/>
        <w:rPr/>
      </w:pPr>
      <w:r w:rsidDel="00000000" w:rsidR="00000000" w:rsidRPr="00000000">
        <w:rPr>
          <w:b w:val="1"/>
          <w:bCs w:val="1"/>
          <w:color w:val="b08d57"/>
          <w:sz w:val="22"/>
          <w:szCs w:val="22"/>
          <w:rtl w:val="0"/>
        </w:rPr>
        <w:t xml:space="preserve">Bloque 1  — Presentación de la recomendación (todos los primeros oradores)</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Cada primer orador de las 8 duplas interviene por 2 minutos.</w:t>
      </w: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Presenta una recomendación concreta de política pública sobre el tema debatido, fundamentada en los argumentos y evidencia recopilados durante el proceso.</w:t>
      </w:r>
      <w:r w:rsidDel="00000000" w:rsidR="00000000" w:rsidRPr="00000000">
        <w:rPr>
          <w:rtl w:val="0"/>
        </w:rPr>
      </w:r>
    </w:p>
    <w:p w:rsidR="00000000" w:rsidDel="00000000" w:rsidP="00000000" w:rsidRDefault="00000000" w:rsidRPr="00000000" w14:paraId="0000003F">
      <w:pPr>
        <w:spacing w:after="100" w:lineRule="auto"/>
        <w:rPr/>
      </w:pPr>
      <w:r w:rsidDel="00000000" w:rsidR="00000000" w:rsidRPr="00000000">
        <w:rPr>
          <w:b w:val="1"/>
          <w:bCs w:val="1"/>
          <w:color w:val="b08d57"/>
          <w:sz w:val="22"/>
          <w:szCs w:val="22"/>
          <w:rtl w:val="0"/>
        </w:rPr>
        <w:t xml:space="preserve">Bloque 2 — Defensa y viabilidad (todos los segundos oradores)</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Cada segundo orador interviene por 2 minutos.</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Defiende la viabilidad de la recomendación presentada por su compañero, responde preguntas del panel de jueces y explica cómo podría implementarse, su impacto esperado y los beneficios que generaría para la juventud dominicana.</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Qué se evalúa: originalidad y realismo de la recomendación, solidez argumentativa, claridad expositiva y capacidad de responder bajo el cuestionamiento del panel.</w:t>
      </w:r>
      <w:r w:rsidDel="00000000" w:rsidR="00000000" w:rsidRPr="00000000">
        <w:rPr>
          <w:rtl w:val="0"/>
        </w:rPr>
      </w:r>
    </w:p>
    <w:p w:rsidR="00000000" w:rsidDel="00000000" w:rsidP="00000000" w:rsidRDefault="00000000" w:rsidRPr="00000000" w14:paraId="00000043">
      <w:pPr>
        <w:spacing w:after="150" w:line="300" w:lineRule="auto"/>
        <w:rPr/>
      </w:pPr>
      <w:r w:rsidDel="00000000" w:rsidR="00000000" w:rsidRPr="00000000">
        <w:rPr>
          <w:sz w:val="22"/>
          <w:szCs w:val="22"/>
          <w:rtl w:val="0"/>
        </w:rPr>
        <w:t xml:space="preserve">El resultado de esta ronda —las 8 recomendaciones finales— constituye el insumo principal del documento de propuestas que Pangea Lab entregará al Ministerio de Cultura.</w:t>
      </w:r>
      <w:r w:rsidDel="00000000" w:rsidR="00000000" w:rsidRPr="00000000">
        <w:rPr>
          <w:rtl w:val="0"/>
        </w:rPr>
      </w:r>
    </w:p>
    <w:p w:rsidR="00000000" w:rsidDel="00000000" w:rsidP="00000000" w:rsidRDefault="00000000" w:rsidRPr="00000000" w14:paraId="00000044">
      <w:pPr>
        <w:pStyle w:val="Heading1"/>
        <w:spacing w:after="200" w:before="400" w:lineRule="auto"/>
        <w:rPr/>
      </w:pPr>
      <w:r w:rsidDel="00000000" w:rsidR="00000000" w:rsidRPr="00000000">
        <w:rPr>
          <w:b w:val="1"/>
          <w:bCs w:val="1"/>
          <w:color w:val="1f3864"/>
          <w:sz w:val="30"/>
          <w:szCs w:val="30"/>
          <w:rtl w:val="0"/>
        </w:rPr>
        <w:t xml:space="preserve">6. Criterios de Evaluación</w:t>
      </w:r>
      <w:r w:rsidDel="00000000" w:rsidR="00000000" w:rsidRPr="00000000">
        <w:rPr>
          <w:rtl w:val="0"/>
        </w:rPr>
      </w:r>
    </w:p>
    <w:p w:rsidR="00000000" w:rsidDel="00000000" w:rsidP="00000000" w:rsidRDefault="00000000" w:rsidRPr="00000000" w14:paraId="00000045">
      <w:pPr>
        <w:spacing w:after="150" w:line="300" w:lineRule="auto"/>
        <w:rPr/>
      </w:pPr>
      <w:r w:rsidDel="00000000" w:rsidR="00000000" w:rsidRPr="00000000">
        <w:rPr>
          <w:sz w:val="22"/>
          <w:szCs w:val="22"/>
          <w:rtl w:val="0"/>
        </w:rPr>
        <w:t xml:space="preserve">Cada intervención se evalúa con dos tablas independientes que corresponden a los dos aspectos centrales del debate: el aspecto cultural/investigativo y el aspecto de debate tradicional. Ambos puntajes se registran por separado y luego se suman para obtener el puntaje total de cada participante, dupla y equipo.</w:t>
      </w:r>
      <w:r w:rsidDel="00000000" w:rsidR="00000000" w:rsidRPr="00000000">
        <w:rPr>
          <w:rtl w:val="0"/>
        </w:rPr>
      </w:r>
    </w:p>
    <w:p w:rsidR="00000000" w:rsidDel="00000000" w:rsidP="00000000" w:rsidRDefault="00000000" w:rsidRPr="00000000" w14:paraId="00000046">
      <w:pPr>
        <w:pStyle w:val="Heading3"/>
        <w:spacing w:after="100" w:before="200" w:lineRule="auto"/>
        <w:rPr/>
      </w:pPr>
      <w:r w:rsidDel="00000000" w:rsidR="00000000" w:rsidRPr="00000000">
        <w:rPr>
          <w:b w:val="1"/>
          <w:bCs w:val="1"/>
          <w:color w:val="b08d57"/>
          <w:sz w:val="22"/>
          <w:szCs w:val="22"/>
          <w:rtl w:val="0"/>
        </w:rPr>
        <w:t xml:space="preserve">6.1 Tabla de evaluación — Aspecto Cultural e Investigativo</w:t>
      </w:r>
      <w:r w:rsidDel="00000000" w:rsidR="00000000" w:rsidRPr="00000000">
        <w:rPr>
          <w:rtl w:val="0"/>
        </w:rPr>
      </w:r>
    </w:p>
    <w:tbl>
      <w:tblPr>
        <w:tblStyle w:val="Table1"/>
        <w:tblW w:w="98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5300"/>
        <w:gridCol w:w="1300"/>
        <w:tblGridChange w:id="0">
          <w:tblGrid>
            <w:gridCol w:w="3200"/>
            <w:gridCol w:w="5300"/>
            <w:gridCol w:w="1300"/>
          </w:tblGrid>
        </w:tblGridChange>
      </w:tblGrid>
      <w:tr>
        <w:trPr>
          <w:cantSplit w:val="0"/>
          <w:tblHeader w:val="1"/>
        </w:trPr>
        <w:tc>
          <w:tcPr>
            <w:shd w:fill="1f3864" w:val="clear"/>
            <w:tcMar>
              <w:top w:w="80.0" w:type="dxa"/>
              <w:left w:w="100.0" w:type="dxa"/>
              <w:bottom w:w="80.0" w:type="dxa"/>
              <w:right w:w="100.0" w:type="dxa"/>
            </w:tcMar>
            <w:vAlign w:val="center"/>
          </w:tcPr>
          <w:p w:rsidR="00000000" w:rsidDel="00000000" w:rsidP="00000000" w:rsidRDefault="00000000" w:rsidRPr="00000000" w14:paraId="00000047">
            <w:pPr>
              <w:jc w:val="left"/>
              <w:rPr/>
            </w:pPr>
            <w:r w:rsidDel="00000000" w:rsidR="00000000" w:rsidRPr="00000000">
              <w:rPr>
                <w:b w:val="1"/>
                <w:bCs w:val="1"/>
                <w:color w:val="ffffff"/>
                <w:sz w:val="20"/>
                <w:szCs w:val="20"/>
                <w:rtl w:val="0"/>
              </w:rPr>
              <w:t xml:space="preserve">Criterio</w:t>
            </w:r>
            <w:r w:rsidDel="00000000" w:rsidR="00000000" w:rsidRPr="00000000">
              <w:rPr>
                <w:rtl w:val="0"/>
              </w:rPr>
            </w:r>
          </w:p>
        </w:tc>
        <w:tc>
          <w:tcPr>
            <w:shd w:fill="1f3864" w:val="clear"/>
            <w:tcMar>
              <w:top w:w="80.0" w:type="dxa"/>
              <w:left w:w="100.0" w:type="dxa"/>
              <w:bottom w:w="80.0" w:type="dxa"/>
              <w:right w:w="100.0" w:type="dxa"/>
            </w:tcMar>
            <w:vAlign w:val="center"/>
          </w:tcPr>
          <w:p w:rsidR="00000000" w:rsidDel="00000000" w:rsidP="00000000" w:rsidRDefault="00000000" w:rsidRPr="00000000" w14:paraId="00000048">
            <w:pPr>
              <w:jc w:val="left"/>
              <w:rPr/>
            </w:pPr>
            <w:r w:rsidDel="00000000" w:rsidR="00000000" w:rsidRPr="00000000">
              <w:rPr>
                <w:b w:val="1"/>
                <w:bCs w:val="1"/>
                <w:color w:val="ffffff"/>
                <w:sz w:val="20"/>
                <w:szCs w:val="20"/>
                <w:rtl w:val="0"/>
              </w:rPr>
              <w:t xml:space="preserve">Descripción</w:t>
            </w:r>
            <w:r w:rsidDel="00000000" w:rsidR="00000000" w:rsidRPr="00000000">
              <w:rPr>
                <w:rtl w:val="0"/>
              </w:rPr>
            </w:r>
          </w:p>
        </w:tc>
        <w:tc>
          <w:tcPr>
            <w:shd w:fill="1f3864" w:val="clear"/>
            <w:tcMar>
              <w:top w:w="80.0" w:type="dxa"/>
              <w:left w:w="100.0" w:type="dxa"/>
              <w:bottom w:w="80.0" w:type="dxa"/>
              <w:right w:w="100.0" w:type="dxa"/>
            </w:tcMar>
            <w:vAlign w:val="center"/>
          </w:tcPr>
          <w:p w:rsidR="00000000" w:rsidDel="00000000" w:rsidP="00000000" w:rsidRDefault="00000000" w:rsidRPr="00000000" w14:paraId="00000049">
            <w:pPr>
              <w:jc w:val="center"/>
              <w:rPr/>
            </w:pPr>
            <w:r w:rsidDel="00000000" w:rsidR="00000000" w:rsidRPr="00000000">
              <w:rPr>
                <w:b w:val="1"/>
                <w:bCs w:val="1"/>
                <w:color w:val="ffffff"/>
                <w:sz w:val="20"/>
                <w:szCs w:val="20"/>
                <w:rtl w:val="0"/>
              </w:rPr>
              <w:t xml:space="preserve">Puntaje</w:t>
            </w:r>
            <w:r w:rsidDel="00000000" w:rsidR="00000000" w:rsidRPr="00000000">
              <w:rPr>
                <w:rtl w:val="0"/>
              </w:rPr>
            </w:r>
          </w:p>
        </w:tc>
      </w:tr>
      <w:tr>
        <w:trPr>
          <w:cantSplit w:val="0"/>
          <w:tblHeader w:val="0"/>
        </w:trPr>
        <w:tc>
          <w:tcPr>
            <w:shd w:fill="f2f2f2" w:val="clear"/>
            <w:tcMar>
              <w:top w:w="80.0" w:type="dxa"/>
              <w:left w:w="100.0" w:type="dxa"/>
              <w:bottom w:w="80.0" w:type="dxa"/>
              <w:right w:w="100.0" w:type="dxa"/>
            </w:tcMar>
            <w:vAlign w:val="center"/>
          </w:tcPr>
          <w:p w:rsidR="00000000" w:rsidDel="00000000" w:rsidP="00000000" w:rsidRDefault="00000000" w:rsidRPr="00000000" w14:paraId="0000004A">
            <w:pPr>
              <w:jc w:val="left"/>
              <w:rPr/>
            </w:pPr>
            <w:r w:rsidDel="00000000" w:rsidR="00000000" w:rsidRPr="00000000">
              <w:rPr>
                <w:b w:val="0"/>
                <w:bCs w:val="0"/>
                <w:sz w:val="20"/>
                <w:szCs w:val="20"/>
                <w:rtl w:val="0"/>
              </w:rPr>
              <w:t xml:space="preserve">Dominio del tema</w:t>
            </w:r>
            <w:r w:rsidDel="00000000" w:rsidR="00000000" w:rsidRPr="00000000">
              <w:rPr>
                <w:rtl w:val="0"/>
              </w:rPr>
            </w:r>
          </w:p>
        </w:tc>
        <w:tc>
          <w:tcPr>
            <w:shd w:fill="f2f2f2" w:val="clear"/>
            <w:tcMar>
              <w:top w:w="80.0" w:type="dxa"/>
              <w:left w:w="100.0" w:type="dxa"/>
              <w:bottom w:w="80.0" w:type="dxa"/>
              <w:right w:w="100.0" w:type="dxa"/>
            </w:tcMar>
            <w:vAlign w:val="center"/>
          </w:tcPr>
          <w:p w:rsidR="00000000" w:rsidDel="00000000" w:rsidP="00000000" w:rsidRDefault="00000000" w:rsidRPr="00000000" w14:paraId="0000004B">
            <w:pPr>
              <w:jc w:val="left"/>
              <w:rPr/>
            </w:pPr>
            <w:r w:rsidDel="00000000" w:rsidR="00000000" w:rsidRPr="00000000">
              <w:rPr>
                <w:b w:val="0"/>
                <w:bCs w:val="0"/>
                <w:sz w:val="20"/>
                <w:szCs w:val="20"/>
                <w:rtl w:val="0"/>
              </w:rPr>
              <w:t xml:space="preserve">Conocimiento profundo del tema investigado, manejo de datos y contexto histórico/social.</w:t>
            </w:r>
            <w:r w:rsidDel="00000000" w:rsidR="00000000" w:rsidRPr="00000000">
              <w:rPr>
                <w:rtl w:val="0"/>
              </w:rPr>
            </w:r>
          </w:p>
        </w:tc>
        <w:tc>
          <w:tcPr>
            <w:shd w:fill="f2f2f2" w:val="clear"/>
            <w:tcMar>
              <w:top w:w="80.0" w:type="dxa"/>
              <w:left w:w="100.0" w:type="dxa"/>
              <w:bottom w:w="80.0" w:type="dxa"/>
              <w:right w:w="100.0" w:type="dxa"/>
            </w:tcMar>
            <w:vAlign w:val="center"/>
          </w:tcPr>
          <w:p w:rsidR="00000000" w:rsidDel="00000000" w:rsidP="00000000" w:rsidRDefault="00000000" w:rsidRPr="00000000" w14:paraId="0000004C">
            <w:pPr>
              <w:jc w:val="center"/>
              <w:rPr/>
            </w:pPr>
            <w:r w:rsidDel="00000000" w:rsidR="00000000" w:rsidRPr="00000000">
              <w:rPr>
                <w:b w:val="0"/>
                <w:bCs w:val="0"/>
                <w:sz w:val="20"/>
                <w:szCs w:val="20"/>
                <w:rtl w:val="0"/>
              </w:rPr>
              <w:t xml:space="preserve">0-10</w:t>
            </w:r>
            <w:r w:rsidDel="00000000" w:rsidR="00000000" w:rsidRPr="00000000">
              <w:rPr>
                <w:rtl w:val="0"/>
              </w:rPr>
            </w:r>
          </w:p>
        </w:tc>
      </w:tr>
      <w:tr>
        <w:trPr>
          <w:cantSplit w:val="0"/>
          <w:tblHeader w:val="0"/>
        </w:trPr>
        <w:tc>
          <w:tcPr>
            <w:tcMar>
              <w:top w:w="80.0" w:type="dxa"/>
              <w:left w:w="100.0" w:type="dxa"/>
              <w:bottom w:w="80.0" w:type="dxa"/>
              <w:right w:w="100.0" w:type="dxa"/>
            </w:tcMar>
            <w:vAlign w:val="center"/>
          </w:tcPr>
          <w:p w:rsidR="00000000" w:rsidDel="00000000" w:rsidP="00000000" w:rsidRDefault="00000000" w:rsidRPr="00000000" w14:paraId="0000004D">
            <w:pPr>
              <w:jc w:val="left"/>
              <w:rPr/>
            </w:pPr>
            <w:r w:rsidDel="00000000" w:rsidR="00000000" w:rsidRPr="00000000">
              <w:rPr>
                <w:b w:val="0"/>
                <w:bCs w:val="0"/>
                <w:sz w:val="20"/>
                <w:szCs w:val="20"/>
                <w:rtl w:val="0"/>
              </w:rPr>
              <w:t xml:space="preserve">Calidad de las fuentes</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4E">
            <w:pPr>
              <w:jc w:val="left"/>
              <w:rPr/>
            </w:pPr>
            <w:r w:rsidDel="00000000" w:rsidR="00000000" w:rsidRPr="00000000">
              <w:rPr>
                <w:b w:val="0"/>
                <w:bCs w:val="0"/>
                <w:sz w:val="20"/>
                <w:szCs w:val="20"/>
                <w:rtl w:val="0"/>
              </w:rPr>
              <w:t xml:space="preserve">Uso de evidencia verificable: estudios, estadísticas, casos, referencias académicas o institucionales.</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4F">
            <w:pPr>
              <w:jc w:val="center"/>
              <w:rPr/>
            </w:pPr>
            <w:r w:rsidDel="00000000" w:rsidR="00000000" w:rsidRPr="00000000">
              <w:rPr>
                <w:b w:val="0"/>
                <w:bCs w:val="0"/>
                <w:sz w:val="20"/>
                <w:szCs w:val="20"/>
                <w:rtl w:val="0"/>
              </w:rPr>
              <w:t xml:space="preserve">0-10</w:t>
            </w:r>
            <w:r w:rsidDel="00000000" w:rsidR="00000000" w:rsidRPr="00000000">
              <w:rPr>
                <w:rtl w:val="0"/>
              </w:rPr>
            </w:r>
          </w:p>
        </w:tc>
      </w:tr>
      <w:tr>
        <w:trPr>
          <w:cantSplit w:val="0"/>
          <w:tblHeader w:val="0"/>
        </w:trPr>
        <w:tc>
          <w:tcPr>
            <w:shd w:fill="f2f2f2" w:val="clear"/>
            <w:tcMar>
              <w:top w:w="80.0" w:type="dxa"/>
              <w:left w:w="100.0" w:type="dxa"/>
              <w:bottom w:w="80.0" w:type="dxa"/>
              <w:right w:w="100.0" w:type="dxa"/>
            </w:tcMar>
            <w:vAlign w:val="center"/>
          </w:tcPr>
          <w:p w:rsidR="00000000" w:rsidDel="00000000" w:rsidP="00000000" w:rsidRDefault="00000000" w:rsidRPr="00000000" w14:paraId="00000050">
            <w:pPr>
              <w:jc w:val="left"/>
              <w:rPr/>
            </w:pPr>
            <w:r w:rsidDel="00000000" w:rsidR="00000000" w:rsidRPr="00000000">
              <w:rPr>
                <w:b w:val="0"/>
                <w:bCs w:val="0"/>
                <w:sz w:val="20"/>
                <w:szCs w:val="20"/>
                <w:rtl w:val="0"/>
              </w:rPr>
              <w:t xml:space="preserve">Profundidad analítica</w:t>
            </w:r>
            <w:r w:rsidDel="00000000" w:rsidR="00000000" w:rsidRPr="00000000">
              <w:rPr>
                <w:rtl w:val="0"/>
              </w:rPr>
            </w:r>
          </w:p>
        </w:tc>
        <w:tc>
          <w:tcPr>
            <w:shd w:fill="f2f2f2" w:val="clear"/>
            <w:tcMar>
              <w:top w:w="80.0" w:type="dxa"/>
              <w:left w:w="100.0" w:type="dxa"/>
              <w:bottom w:w="80.0" w:type="dxa"/>
              <w:right w:w="100.0" w:type="dxa"/>
            </w:tcMar>
            <w:vAlign w:val="center"/>
          </w:tcPr>
          <w:p w:rsidR="00000000" w:rsidDel="00000000" w:rsidP="00000000" w:rsidRDefault="00000000" w:rsidRPr="00000000" w14:paraId="00000051">
            <w:pPr>
              <w:jc w:val="left"/>
              <w:rPr/>
            </w:pPr>
            <w:r w:rsidDel="00000000" w:rsidR="00000000" w:rsidRPr="00000000">
              <w:rPr>
                <w:b w:val="0"/>
                <w:bCs w:val="0"/>
                <w:sz w:val="20"/>
                <w:szCs w:val="20"/>
                <w:rtl w:val="0"/>
              </w:rPr>
              <w:t xml:space="preserve">Capacidad de ir más allá del dato superficial y conectar el tema con su contexto cultural o social.</w:t>
            </w:r>
            <w:r w:rsidDel="00000000" w:rsidR="00000000" w:rsidRPr="00000000">
              <w:rPr>
                <w:rtl w:val="0"/>
              </w:rPr>
            </w:r>
          </w:p>
        </w:tc>
        <w:tc>
          <w:tcPr>
            <w:shd w:fill="f2f2f2" w:val="clear"/>
            <w:tcMar>
              <w:top w:w="80.0" w:type="dxa"/>
              <w:left w:w="100.0" w:type="dxa"/>
              <w:bottom w:w="80.0" w:type="dxa"/>
              <w:right w:w="100.0" w:type="dxa"/>
            </w:tcMar>
            <w:vAlign w:val="center"/>
          </w:tcPr>
          <w:p w:rsidR="00000000" w:rsidDel="00000000" w:rsidP="00000000" w:rsidRDefault="00000000" w:rsidRPr="00000000" w14:paraId="00000052">
            <w:pPr>
              <w:jc w:val="center"/>
              <w:rPr/>
            </w:pPr>
            <w:r w:rsidDel="00000000" w:rsidR="00000000" w:rsidRPr="00000000">
              <w:rPr>
                <w:b w:val="0"/>
                <w:bCs w:val="0"/>
                <w:sz w:val="20"/>
                <w:szCs w:val="20"/>
                <w:rtl w:val="0"/>
              </w:rPr>
              <w:t xml:space="preserve">0-5</w:t>
            </w:r>
            <w:r w:rsidDel="00000000" w:rsidR="00000000" w:rsidRPr="00000000">
              <w:rPr>
                <w:rtl w:val="0"/>
              </w:rPr>
            </w:r>
          </w:p>
        </w:tc>
      </w:tr>
      <w:tr>
        <w:trPr>
          <w:cantSplit w:val="0"/>
          <w:tblHeader w:val="0"/>
        </w:trPr>
        <w:tc>
          <w:tcPr>
            <w:tcMar>
              <w:top w:w="80.0" w:type="dxa"/>
              <w:left w:w="100.0" w:type="dxa"/>
              <w:bottom w:w="80.0" w:type="dxa"/>
              <w:right w:w="100.0" w:type="dxa"/>
            </w:tcMar>
            <w:vAlign w:val="center"/>
          </w:tcPr>
          <w:p w:rsidR="00000000" w:rsidDel="00000000" w:rsidP="00000000" w:rsidRDefault="00000000" w:rsidRPr="00000000" w14:paraId="00000053">
            <w:pPr>
              <w:jc w:val="left"/>
              <w:rPr/>
            </w:pPr>
            <w:r w:rsidDel="00000000" w:rsidR="00000000" w:rsidRPr="00000000">
              <w:rPr>
                <w:b w:val="0"/>
                <w:bCs w:val="0"/>
                <w:sz w:val="20"/>
                <w:szCs w:val="20"/>
                <w:rtl w:val="0"/>
              </w:rPr>
              <w:t xml:space="preserve">Pertinencia cultural</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54">
            <w:pPr>
              <w:jc w:val="left"/>
              <w:rPr/>
            </w:pPr>
            <w:r w:rsidDel="00000000" w:rsidR="00000000" w:rsidRPr="00000000">
              <w:rPr>
                <w:b w:val="0"/>
                <w:bCs w:val="0"/>
                <w:sz w:val="20"/>
                <w:szCs w:val="20"/>
                <w:rtl w:val="0"/>
              </w:rPr>
              <w:t xml:space="preserve">Vinculación del argumento con la identidad, realidad o agenda cultural dominicana.</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55">
            <w:pPr>
              <w:jc w:val="center"/>
              <w:rPr/>
            </w:pPr>
            <w:r w:rsidDel="00000000" w:rsidR="00000000" w:rsidRPr="00000000">
              <w:rPr>
                <w:b w:val="0"/>
                <w:bCs w:val="0"/>
                <w:sz w:val="20"/>
                <w:szCs w:val="20"/>
                <w:rtl w:val="0"/>
              </w:rPr>
              <w:t xml:space="preserve">0-5</w:t>
            </w:r>
            <w:r w:rsidDel="00000000" w:rsidR="00000000" w:rsidRPr="00000000">
              <w:rPr>
                <w:rtl w:val="0"/>
              </w:rPr>
            </w:r>
          </w:p>
        </w:tc>
      </w:tr>
      <w:tr>
        <w:trPr>
          <w:cantSplit w:val="0"/>
          <w:tblHeader w:val="0"/>
        </w:trPr>
        <w:tc>
          <w:tcPr>
            <w:gridSpan w:val="2"/>
            <w:shd w:fill="d9d9d9" w:val="clear"/>
            <w:tcMar>
              <w:top w:w="80.0" w:type="dxa"/>
              <w:left w:w="100.0" w:type="dxa"/>
              <w:bottom w:w="80.0" w:type="dxa"/>
              <w:right w:w="100.0" w:type="dxa"/>
            </w:tcMar>
          </w:tcPr>
          <w:p w:rsidR="00000000" w:rsidDel="00000000" w:rsidP="00000000" w:rsidRDefault="00000000" w:rsidRPr="00000000" w14:paraId="00000056">
            <w:pPr>
              <w:rPr/>
            </w:pPr>
            <w:r w:rsidDel="00000000" w:rsidR="00000000" w:rsidRPr="00000000">
              <w:rPr>
                <w:b w:val="1"/>
                <w:bCs w:val="1"/>
                <w:sz w:val="20"/>
                <w:szCs w:val="20"/>
                <w:rtl w:val="0"/>
              </w:rPr>
              <w:t xml:space="preserve">TOTAL ASPECTO CULTURAL</w:t>
            </w:r>
            <w:r w:rsidDel="00000000" w:rsidR="00000000" w:rsidRPr="00000000">
              <w:rPr>
                <w:rtl w:val="0"/>
              </w:rPr>
            </w:r>
          </w:p>
        </w:tc>
        <w:tc>
          <w:tcPr>
            <w:shd w:fill="d9d9d9" w:val="clear"/>
            <w:tcMar>
              <w:top w:w="80.0" w:type="dxa"/>
              <w:left w:w="100.0" w:type="dxa"/>
              <w:bottom w:w="80.0" w:type="dxa"/>
              <w:right w:w="100.0" w:type="dxa"/>
            </w:tcMar>
            <w:vAlign w:val="center"/>
          </w:tcPr>
          <w:p w:rsidR="00000000" w:rsidDel="00000000" w:rsidP="00000000" w:rsidRDefault="00000000" w:rsidRPr="00000000" w14:paraId="00000058">
            <w:pPr>
              <w:jc w:val="center"/>
              <w:rPr/>
            </w:pPr>
            <w:r w:rsidDel="00000000" w:rsidR="00000000" w:rsidRPr="00000000">
              <w:rPr>
                <w:b w:val="1"/>
                <w:bCs w:val="1"/>
                <w:sz w:val="20"/>
                <w:szCs w:val="20"/>
                <w:rtl w:val="0"/>
              </w:rPr>
              <w:t xml:space="preserve">/ 0</w:t>
            </w:r>
            <w:r w:rsidDel="00000000" w:rsidR="00000000" w:rsidRPr="00000000">
              <w:rPr>
                <w:rtl w:val="0"/>
              </w:rPr>
            </w:r>
          </w:p>
        </w:tc>
      </w:tr>
    </w:tbl>
    <w:p w:rsidR="00000000" w:rsidDel="00000000" w:rsidP="00000000" w:rsidRDefault="00000000" w:rsidRPr="00000000" w14:paraId="00000059">
      <w:pPr>
        <w:spacing w:before="300" w:lineRule="auto"/>
        <w:rPr/>
      </w:pPr>
      <w:r w:rsidDel="00000000" w:rsidR="00000000" w:rsidRPr="00000000">
        <w:rPr>
          <w:rtl w:val="0"/>
        </w:rPr>
      </w:r>
    </w:p>
    <w:p w:rsidR="00000000" w:rsidDel="00000000" w:rsidP="00000000" w:rsidRDefault="00000000" w:rsidRPr="00000000" w14:paraId="0000005A">
      <w:pPr>
        <w:pStyle w:val="Heading3"/>
        <w:spacing w:after="100" w:before="200" w:lineRule="auto"/>
        <w:rPr/>
      </w:pPr>
      <w:r w:rsidDel="00000000" w:rsidR="00000000" w:rsidRPr="00000000">
        <w:rPr>
          <w:b w:val="1"/>
          <w:bCs w:val="1"/>
          <w:color w:val="b08d57"/>
          <w:sz w:val="22"/>
          <w:szCs w:val="22"/>
          <w:rtl w:val="0"/>
        </w:rPr>
        <w:t xml:space="preserve">6.2 Tabla de evaluación — Aspecto de Debate Tradicional (Sujeto a cambio  según lo que sea mejor)</w:t>
      </w:r>
      <w:r w:rsidDel="00000000" w:rsidR="00000000" w:rsidRPr="00000000">
        <w:rPr>
          <w:rtl w:val="0"/>
        </w:rPr>
      </w:r>
    </w:p>
    <w:tbl>
      <w:tblPr>
        <w:tblStyle w:val="Table2"/>
        <w:tblW w:w="98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5300"/>
        <w:gridCol w:w="1300"/>
        <w:tblGridChange w:id="0">
          <w:tblGrid>
            <w:gridCol w:w="3200"/>
            <w:gridCol w:w="5300"/>
            <w:gridCol w:w="1300"/>
          </w:tblGrid>
        </w:tblGridChange>
      </w:tblGrid>
      <w:tr>
        <w:trPr>
          <w:cantSplit w:val="0"/>
          <w:tblHeader w:val="1"/>
        </w:trPr>
        <w:tc>
          <w:tcPr>
            <w:shd w:fill="1f3864" w:val="clear"/>
            <w:tcMar>
              <w:top w:w="80.0" w:type="dxa"/>
              <w:left w:w="100.0" w:type="dxa"/>
              <w:bottom w:w="80.0" w:type="dxa"/>
              <w:right w:w="100.0" w:type="dxa"/>
            </w:tcMar>
            <w:vAlign w:val="center"/>
          </w:tcPr>
          <w:p w:rsidR="00000000" w:rsidDel="00000000" w:rsidP="00000000" w:rsidRDefault="00000000" w:rsidRPr="00000000" w14:paraId="0000005B">
            <w:pPr>
              <w:jc w:val="left"/>
              <w:rPr/>
            </w:pPr>
            <w:r w:rsidDel="00000000" w:rsidR="00000000" w:rsidRPr="00000000">
              <w:rPr>
                <w:b w:val="1"/>
                <w:bCs w:val="1"/>
                <w:color w:val="ffffff"/>
                <w:sz w:val="20"/>
                <w:szCs w:val="20"/>
                <w:rtl w:val="0"/>
              </w:rPr>
              <w:t xml:space="preserve">Criterio</w:t>
            </w:r>
            <w:r w:rsidDel="00000000" w:rsidR="00000000" w:rsidRPr="00000000">
              <w:rPr>
                <w:rtl w:val="0"/>
              </w:rPr>
            </w:r>
          </w:p>
        </w:tc>
        <w:tc>
          <w:tcPr>
            <w:shd w:fill="1f3864" w:val="clear"/>
            <w:tcMar>
              <w:top w:w="80.0" w:type="dxa"/>
              <w:left w:w="100.0" w:type="dxa"/>
              <w:bottom w:w="80.0" w:type="dxa"/>
              <w:right w:w="100.0" w:type="dxa"/>
            </w:tcMar>
            <w:vAlign w:val="center"/>
          </w:tcPr>
          <w:p w:rsidR="00000000" w:rsidDel="00000000" w:rsidP="00000000" w:rsidRDefault="00000000" w:rsidRPr="00000000" w14:paraId="0000005C">
            <w:pPr>
              <w:jc w:val="left"/>
              <w:rPr/>
            </w:pPr>
            <w:r w:rsidDel="00000000" w:rsidR="00000000" w:rsidRPr="00000000">
              <w:rPr>
                <w:b w:val="1"/>
                <w:bCs w:val="1"/>
                <w:color w:val="ffffff"/>
                <w:sz w:val="20"/>
                <w:szCs w:val="20"/>
                <w:rtl w:val="0"/>
              </w:rPr>
              <w:t xml:space="preserve">Descripción</w:t>
            </w:r>
            <w:r w:rsidDel="00000000" w:rsidR="00000000" w:rsidRPr="00000000">
              <w:rPr>
                <w:rtl w:val="0"/>
              </w:rPr>
            </w:r>
          </w:p>
        </w:tc>
        <w:tc>
          <w:tcPr>
            <w:shd w:fill="1f3864" w:val="clear"/>
            <w:tcMar>
              <w:top w:w="80.0" w:type="dxa"/>
              <w:left w:w="100.0" w:type="dxa"/>
              <w:bottom w:w="80.0" w:type="dxa"/>
              <w:right w:w="100.0" w:type="dxa"/>
            </w:tcMar>
            <w:vAlign w:val="center"/>
          </w:tcPr>
          <w:p w:rsidR="00000000" w:rsidDel="00000000" w:rsidP="00000000" w:rsidRDefault="00000000" w:rsidRPr="00000000" w14:paraId="0000005D">
            <w:pPr>
              <w:jc w:val="center"/>
              <w:rPr/>
            </w:pPr>
            <w:r w:rsidDel="00000000" w:rsidR="00000000" w:rsidRPr="00000000">
              <w:rPr>
                <w:b w:val="1"/>
                <w:bCs w:val="1"/>
                <w:color w:val="ffffff"/>
                <w:sz w:val="20"/>
                <w:szCs w:val="20"/>
                <w:rtl w:val="0"/>
              </w:rPr>
              <w:t xml:space="preserve">Puntaje</w:t>
            </w:r>
            <w:r w:rsidDel="00000000" w:rsidR="00000000" w:rsidRPr="00000000">
              <w:rPr>
                <w:rtl w:val="0"/>
              </w:rPr>
            </w:r>
          </w:p>
        </w:tc>
      </w:tr>
      <w:tr>
        <w:trPr>
          <w:cantSplit w:val="0"/>
          <w:tblHeader w:val="0"/>
        </w:trPr>
        <w:tc>
          <w:tcPr>
            <w:shd w:fill="f2f2f2" w:val="clear"/>
            <w:tcMar>
              <w:top w:w="80.0" w:type="dxa"/>
              <w:left w:w="100.0" w:type="dxa"/>
              <w:bottom w:w="80.0" w:type="dxa"/>
              <w:right w:w="100.0" w:type="dxa"/>
            </w:tcMar>
            <w:vAlign w:val="center"/>
          </w:tcPr>
          <w:p w:rsidR="00000000" w:rsidDel="00000000" w:rsidP="00000000" w:rsidRDefault="00000000" w:rsidRPr="00000000" w14:paraId="0000005E">
            <w:pPr>
              <w:jc w:val="left"/>
              <w:rPr/>
            </w:pPr>
            <w:r w:rsidDel="00000000" w:rsidR="00000000" w:rsidRPr="00000000">
              <w:rPr>
                <w:b w:val="0"/>
                <w:bCs w:val="0"/>
                <w:sz w:val="20"/>
                <w:szCs w:val="20"/>
                <w:rtl w:val="0"/>
              </w:rPr>
              <w:t xml:space="preserve">Estructura del argumento</w:t>
            </w:r>
            <w:r w:rsidDel="00000000" w:rsidR="00000000" w:rsidRPr="00000000">
              <w:rPr>
                <w:rtl w:val="0"/>
              </w:rPr>
            </w:r>
          </w:p>
        </w:tc>
        <w:tc>
          <w:tcPr>
            <w:shd w:fill="f2f2f2" w:val="clear"/>
            <w:tcMar>
              <w:top w:w="80.0" w:type="dxa"/>
              <w:left w:w="100.0" w:type="dxa"/>
              <w:bottom w:w="80.0" w:type="dxa"/>
              <w:right w:w="100.0" w:type="dxa"/>
            </w:tcMar>
            <w:vAlign w:val="center"/>
          </w:tcPr>
          <w:p w:rsidR="00000000" w:rsidDel="00000000" w:rsidP="00000000" w:rsidRDefault="00000000" w:rsidRPr="00000000" w14:paraId="0000005F">
            <w:pPr>
              <w:jc w:val="left"/>
              <w:rPr/>
            </w:pPr>
            <w:r w:rsidDel="00000000" w:rsidR="00000000" w:rsidRPr="00000000">
              <w:rPr>
                <w:b w:val="0"/>
                <w:bCs w:val="0"/>
                <w:sz w:val="20"/>
                <w:szCs w:val="20"/>
                <w:rtl w:val="0"/>
              </w:rPr>
              <w:t xml:space="preserve">Claridad en tesis, desarrollo y conclusión dentro del tiempo asignado.</w:t>
            </w:r>
            <w:r w:rsidDel="00000000" w:rsidR="00000000" w:rsidRPr="00000000">
              <w:rPr>
                <w:rtl w:val="0"/>
              </w:rPr>
            </w:r>
          </w:p>
        </w:tc>
        <w:tc>
          <w:tcPr>
            <w:shd w:fill="f2f2f2" w:val="clear"/>
            <w:tcMar>
              <w:top w:w="80.0" w:type="dxa"/>
              <w:left w:w="100.0" w:type="dxa"/>
              <w:bottom w:w="80.0" w:type="dxa"/>
              <w:right w:w="100.0" w:type="dxa"/>
            </w:tcMar>
            <w:vAlign w:val="center"/>
          </w:tcPr>
          <w:p w:rsidR="00000000" w:rsidDel="00000000" w:rsidP="00000000" w:rsidRDefault="00000000" w:rsidRPr="00000000" w14:paraId="00000060">
            <w:pPr>
              <w:jc w:val="center"/>
              <w:rPr/>
            </w:pPr>
            <w:r w:rsidDel="00000000" w:rsidR="00000000" w:rsidRPr="00000000">
              <w:rPr>
                <w:b w:val="0"/>
                <w:bCs w:val="0"/>
                <w:sz w:val="20"/>
                <w:szCs w:val="20"/>
                <w:rtl w:val="0"/>
              </w:rPr>
              <w:t xml:space="preserve">0-10</w:t>
            </w:r>
            <w:r w:rsidDel="00000000" w:rsidR="00000000" w:rsidRPr="00000000">
              <w:rPr>
                <w:rtl w:val="0"/>
              </w:rPr>
            </w:r>
          </w:p>
        </w:tc>
      </w:tr>
      <w:tr>
        <w:trPr>
          <w:cantSplit w:val="0"/>
          <w:tblHeader w:val="0"/>
        </w:trPr>
        <w:tc>
          <w:tcPr>
            <w:tcMar>
              <w:top w:w="80.0" w:type="dxa"/>
              <w:left w:w="100.0" w:type="dxa"/>
              <w:bottom w:w="80.0" w:type="dxa"/>
              <w:right w:w="100.0" w:type="dxa"/>
            </w:tcMar>
            <w:vAlign w:val="center"/>
          </w:tcPr>
          <w:p w:rsidR="00000000" w:rsidDel="00000000" w:rsidP="00000000" w:rsidRDefault="00000000" w:rsidRPr="00000000" w14:paraId="00000061">
            <w:pPr>
              <w:jc w:val="left"/>
              <w:rPr/>
            </w:pPr>
            <w:r w:rsidDel="00000000" w:rsidR="00000000" w:rsidRPr="00000000">
              <w:rPr>
                <w:b w:val="0"/>
                <w:bCs w:val="0"/>
                <w:sz w:val="20"/>
                <w:szCs w:val="20"/>
                <w:rtl w:val="0"/>
              </w:rPr>
              <w:t xml:space="preserve">Persuasión y oratoria</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62">
            <w:pPr>
              <w:jc w:val="left"/>
              <w:rPr/>
            </w:pPr>
            <w:r w:rsidDel="00000000" w:rsidR="00000000" w:rsidRPr="00000000">
              <w:rPr>
                <w:b w:val="0"/>
                <w:bCs w:val="0"/>
                <w:sz w:val="20"/>
                <w:szCs w:val="20"/>
                <w:rtl w:val="0"/>
              </w:rPr>
              <w:t xml:space="preserve">Manejo escénico, tono, seguridad y capacidad de convencer al panel.</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63">
            <w:pPr>
              <w:jc w:val="center"/>
              <w:rPr/>
            </w:pPr>
            <w:r w:rsidDel="00000000" w:rsidR="00000000" w:rsidRPr="00000000">
              <w:rPr>
                <w:b w:val="0"/>
                <w:bCs w:val="0"/>
                <w:sz w:val="20"/>
                <w:szCs w:val="20"/>
                <w:rtl w:val="0"/>
              </w:rPr>
              <w:t xml:space="preserve">0-10</w:t>
            </w:r>
            <w:r w:rsidDel="00000000" w:rsidR="00000000" w:rsidRPr="00000000">
              <w:rPr>
                <w:rtl w:val="0"/>
              </w:rPr>
            </w:r>
          </w:p>
        </w:tc>
      </w:tr>
      <w:tr>
        <w:trPr>
          <w:cantSplit w:val="0"/>
          <w:tblHeader w:val="0"/>
        </w:trPr>
        <w:tc>
          <w:tcPr>
            <w:shd w:fill="f2f2f2" w:val="clear"/>
            <w:tcMar>
              <w:top w:w="80.0" w:type="dxa"/>
              <w:left w:w="100.0" w:type="dxa"/>
              <w:bottom w:w="80.0" w:type="dxa"/>
              <w:right w:w="100.0" w:type="dxa"/>
            </w:tcMar>
            <w:vAlign w:val="center"/>
          </w:tcPr>
          <w:p w:rsidR="00000000" w:rsidDel="00000000" w:rsidP="00000000" w:rsidRDefault="00000000" w:rsidRPr="00000000" w14:paraId="00000064">
            <w:pPr>
              <w:jc w:val="left"/>
              <w:rPr/>
            </w:pPr>
            <w:r w:rsidDel="00000000" w:rsidR="00000000" w:rsidRPr="00000000">
              <w:rPr>
                <w:b w:val="0"/>
                <w:bCs w:val="0"/>
                <w:sz w:val="20"/>
                <w:szCs w:val="20"/>
                <w:rtl w:val="0"/>
              </w:rPr>
              <w:t xml:space="preserve">Manejo del tiempo</w:t>
            </w:r>
            <w:r w:rsidDel="00000000" w:rsidR="00000000" w:rsidRPr="00000000">
              <w:rPr>
                <w:rtl w:val="0"/>
              </w:rPr>
            </w:r>
          </w:p>
        </w:tc>
        <w:tc>
          <w:tcPr>
            <w:shd w:fill="f2f2f2" w:val="clear"/>
            <w:tcMar>
              <w:top w:w="80.0" w:type="dxa"/>
              <w:left w:w="100.0" w:type="dxa"/>
              <w:bottom w:w="80.0" w:type="dxa"/>
              <w:right w:w="100.0" w:type="dxa"/>
            </w:tcMar>
            <w:vAlign w:val="center"/>
          </w:tcPr>
          <w:p w:rsidR="00000000" w:rsidDel="00000000" w:rsidP="00000000" w:rsidRDefault="00000000" w:rsidRPr="00000000" w14:paraId="00000065">
            <w:pPr>
              <w:jc w:val="left"/>
              <w:rPr/>
            </w:pPr>
            <w:r w:rsidDel="00000000" w:rsidR="00000000" w:rsidRPr="00000000">
              <w:rPr>
                <w:b w:val="0"/>
                <w:bCs w:val="0"/>
                <w:sz w:val="20"/>
                <w:szCs w:val="20"/>
                <w:rtl w:val="0"/>
              </w:rPr>
              <w:t xml:space="preserve">Uso eficiente de los 2 minutos, sin cortes abruptos ni tiempo desperdiciado.</w:t>
            </w:r>
            <w:r w:rsidDel="00000000" w:rsidR="00000000" w:rsidRPr="00000000">
              <w:rPr>
                <w:rtl w:val="0"/>
              </w:rPr>
            </w:r>
          </w:p>
        </w:tc>
        <w:tc>
          <w:tcPr>
            <w:shd w:fill="f2f2f2" w:val="clear"/>
            <w:tcMar>
              <w:top w:w="80.0" w:type="dxa"/>
              <w:left w:w="100.0" w:type="dxa"/>
              <w:bottom w:w="80.0" w:type="dxa"/>
              <w:right w:w="100.0" w:type="dxa"/>
            </w:tcMar>
            <w:vAlign w:val="center"/>
          </w:tcPr>
          <w:p w:rsidR="00000000" w:rsidDel="00000000" w:rsidP="00000000" w:rsidRDefault="00000000" w:rsidRPr="00000000" w14:paraId="00000066">
            <w:pPr>
              <w:jc w:val="center"/>
              <w:rPr/>
            </w:pPr>
            <w:r w:rsidDel="00000000" w:rsidR="00000000" w:rsidRPr="00000000">
              <w:rPr>
                <w:b w:val="0"/>
                <w:bCs w:val="0"/>
                <w:sz w:val="20"/>
                <w:szCs w:val="20"/>
                <w:rtl w:val="0"/>
              </w:rPr>
              <w:t xml:space="preserve">0-5</w:t>
            </w:r>
            <w:r w:rsidDel="00000000" w:rsidR="00000000" w:rsidRPr="00000000">
              <w:rPr>
                <w:rtl w:val="0"/>
              </w:rPr>
            </w:r>
          </w:p>
        </w:tc>
      </w:tr>
      <w:tr>
        <w:trPr>
          <w:cantSplit w:val="0"/>
          <w:tblHeader w:val="0"/>
        </w:trPr>
        <w:tc>
          <w:tcPr>
            <w:tcMar>
              <w:top w:w="80.0" w:type="dxa"/>
              <w:left w:w="100.0" w:type="dxa"/>
              <w:bottom w:w="80.0" w:type="dxa"/>
              <w:right w:w="100.0" w:type="dxa"/>
            </w:tcMar>
            <w:vAlign w:val="center"/>
          </w:tcPr>
          <w:p w:rsidR="00000000" w:rsidDel="00000000" w:rsidP="00000000" w:rsidRDefault="00000000" w:rsidRPr="00000000" w14:paraId="00000067">
            <w:pPr>
              <w:jc w:val="left"/>
              <w:rPr/>
            </w:pPr>
            <w:r w:rsidDel="00000000" w:rsidR="00000000" w:rsidRPr="00000000">
              <w:rPr>
                <w:b w:val="0"/>
                <w:bCs w:val="0"/>
                <w:sz w:val="20"/>
                <w:szCs w:val="20"/>
                <w:rtl w:val="0"/>
              </w:rPr>
              <w:t xml:space="preserve">Capacidad de refutación</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68">
            <w:pPr>
              <w:jc w:val="left"/>
              <w:rPr/>
            </w:pPr>
            <w:r w:rsidDel="00000000" w:rsidR="00000000" w:rsidRPr="00000000">
              <w:rPr>
                <w:b w:val="0"/>
                <w:bCs w:val="0"/>
                <w:sz w:val="20"/>
                <w:szCs w:val="20"/>
                <w:rtl w:val="0"/>
              </w:rPr>
              <w:t xml:space="preserve">Calidad al responder preguntas, contraargumentos o ataques del equipo contrario.</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69">
            <w:pPr>
              <w:jc w:val="center"/>
              <w:rPr/>
            </w:pPr>
            <w:r w:rsidDel="00000000" w:rsidR="00000000" w:rsidRPr="00000000">
              <w:rPr>
                <w:b w:val="0"/>
                <w:bCs w:val="0"/>
                <w:sz w:val="20"/>
                <w:szCs w:val="20"/>
                <w:rtl w:val="0"/>
              </w:rPr>
              <w:t xml:space="preserve">0-5</w:t>
            </w:r>
            <w:r w:rsidDel="00000000" w:rsidR="00000000" w:rsidRPr="00000000">
              <w:rPr>
                <w:rtl w:val="0"/>
              </w:rPr>
            </w:r>
          </w:p>
        </w:tc>
      </w:tr>
      <w:tr>
        <w:trPr>
          <w:cantSplit w:val="0"/>
          <w:tblHeader w:val="0"/>
        </w:trPr>
        <w:tc>
          <w:tcPr>
            <w:gridSpan w:val="2"/>
            <w:shd w:fill="d9d9d9" w:val="clear"/>
            <w:tcMar>
              <w:top w:w="80.0" w:type="dxa"/>
              <w:left w:w="100.0" w:type="dxa"/>
              <w:bottom w:w="80.0" w:type="dxa"/>
              <w:right w:w="100.0" w:type="dxa"/>
            </w:tcMar>
          </w:tcPr>
          <w:p w:rsidR="00000000" w:rsidDel="00000000" w:rsidP="00000000" w:rsidRDefault="00000000" w:rsidRPr="00000000" w14:paraId="0000006A">
            <w:pPr>
              <w:rPr/>
            </w:pPr>
            <w:r w:rsidDel="00000000" w:rsidR="00000000" w:rsidRPr="00000000">
              <w:rPr>
                <w:b w:val="1"/>
                <w:bCs w:val="1"/>
                <w:sz w:val="20"/>
                <w:szCs w:val="20"/>
                <w:rtl w:val="0"/>
              </w:rPr>
              <w:t xml:space="preserve">TOTAL ASPECTO DE DEBATE</w:t>
            </w:r>
            <w:r w:rsidDel="00000000" w:rsidR="00000000" w:rsidRPr="00000000">
              <w:rPr>
                <w:rtl w:val="0"/>
              </w:rPr>
            </w:r>
          </w:p>
        </w:tc>
        <w:tc>
          <w:tcPr>
            <w:shd w:fill="d9d9d9" w:val="clear"/>
            <w:tcMar>
              <w:top w:w="80.0" w:type="dxa"/>
              <w:left w:w="100.0" w:type="dxa"/>
              <w:bottom w:w="80.0" w:type="dxa"/>
              <w:right w:w="100.0" w:type="dxa"/>
            </w:tcMar>
            <w:vAlign w:val="center"/>
          </w:tcPr>
          <w:p w:rsidR="00000000" w:rsidDel="00000000" w:rsidP="00000000" w:rsidRDefault="00000000" w:rsidRPr="00000000" w14:paraId="0000006C">
            <w:pPr>
              <w:jc w:val="center"/>
              <w:rPr/>
            </w:pPr>
            <w:r w:rsidDel="00000000" w:rsidR="00000000" w:rsidRPr="00000000">
              <w:rPr>
                <w:b w:val="1"/>
                <w:bCs w:val="1"/>
                <w:sz w:val="20"/>
                <w:szCs w:val="20"/>
                <w:rtl w:val="0"/>
              </w:rPr>
              <w:t xml:space="preserve">/ 0</w:t>
            </w:r>
            <w:r w:rsidDel="00000000" w:rsidR="00000000" w:rsidRPr="00000000">
              <w:rPr>
                <w:rtl w:val="0"/>
              </w:rPr>
            </w:r>
          </w:p>
        </w:tc>
      </w:tr>
    </w:tbl>
    <w:p w:rsidR="00000000" w:rsidDel="00000000" w:rsidP="00000000" w:rsidRDefault="00000000" w:rsidRPr="00000000" w14:paraId="0000006D">
      <w:pPr>
        <w:spacing w:before="200" w:lineRule="auto"/>
        <w:rPr/>
      </w:pPr>
      <w:r w:rsidDel="00000000" w:rsidR="00000000" w:rsidRPr="00000000">
        <w:rPr>
          <w:rtl w:val="0"/>
        </w:rPr>
      </w:r>
    </w:p>
    <w:p w:rsidR="00000000" w:rsidDel="00000000" w:rsidP="00000000" w:rsidRDefault="00000000" w:rsidRPr="00000000" w14:paraId="0000006E">
      <w:pPr>
        <w:spacing w:after="150" w:line="300" w:lineRule="auto"/>
        <w:rPr/>
      </w:pPr>
      <w:r w:rsidDel="00000000" w:rsidR="00000000" w:rsidRPr="00000000">
        <w:rPr>
          <w:sz w:val="22"/>
          <w:szCs w:val="22"/>
          <w:rtl w:val="0"/>
        </w:rPr>
        <w:t xml:space="preserve">Puntaje total por intervención = Total Aspecto Cultural + Total Aspecto de Debate (máximo 60 puntos por turno).</w:t>
      </w:r>
      <w:r w:rsidDel="00000000" w:rsidR="00000000" w:rsidRPr="00000000">
        <w:rPr>
          <w:rtl w:val="0"/>
        </w:rPr>
      </w:r>
    </w:p>
    <w:p w:rsidR="00000000" w:rsidDel="00000000" w:rsidP="00000000" w:rsidRDefault="00000000" w:rsidRPr="00000000" w14:paraId="0000006F">
      <w:pPr>
        <w:pStyle w:val="Heading1"/>
        <w:spacing w:after="200" w:before="400" w:lineRule="auto"/>
        <w:rPr/>
      </w:pPr>
      <w:r w:rsidDel="00000000" w:rsidR="00000000" w:rsidRPr="00000000">
        <w:rPr>
          <w:b w:val="1"/>
          <w:bCs w:val="1"/>
          <w:color w:val="1f3864"/>
          <w:sz w:val="30"/>
          <w:szCs w:val="30"/>
          <w:rtl w:val="0"/>
        </w:rPr>
        <w:t xml:space="preserve">7. Sistema de Puntuación y Avance a la Final</w:t>
      </w: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Cada participante recibe un puntaje individual por su intervención en cada ronda (Aspecto Cultural + Aspecto de Debate).</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El puntaje individual se suma al de su compañero de dupla para obtener el puntaje de dupla en esa ronda.</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Los puntajes de dupla se acumulan a lo largo de las Rondas 1, 2 y 3.</w:t>
      </w: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Al finalizar la Ronda 3, se ordenan las 20 duplas según su puntaje acumulado total.</w:t>
      </w: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Las 8 duplas con mayor puntaje acumulado avanzan a la Ronda 4 (Final).</w:t>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 la Ronda 4, se evalúa nuevamente con ambas tablas, y el puntaje de esta ronda se  </w:t>
      </w:r>
      <w:r w:rsidDel="00000000" w:rsidR="00000000" w:rsidRPr="00000000">
        <w:rPr>
          <w:sz w:val="22"/>
          <w:szCs w:val="22"/>
          <w:rtl w:val="0"/>
        </w:rPr>
        <w:t xml:space="preserve">usa para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determinar el orden final de mérito.</w:t>
      </w: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8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Los puntajes por equipo general (</w:t>
      </w:r>
      <w:r w:rsidDel="00000000" w:rsidR="00000000" w:rsidRPr="00000000">
        <w:rPr>
          <w:sz w:val="22"/>
          <w:szCs w:val="22"/>
          <w:rtl w:val="0"/>
        </w:rPr>
        <w:t xml:space="preserve">a favor vs en contra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se calculan sumando los puntajes de todas las duplas de cada postura, y sirven como referencia adicional de desempeño colectivo.</w:t>
      </w:r>
      <w:r w:rsidDel="00000000" w:rsidR="00000000" w:rsidRPr="00000000">
        <w:rPr>
          <w:rtl w:val="0"/>
        </w:rPr>
      </w:r>
    </w:p>
    <w:p w:rsidR="00000000" w:rsidDel="00000000" w:rsidP="00000000" w:rsidRDefault="00000000" w:rsidRPr="00000000" w14:paraId="00000077">
      <w:pPr>
        <w:pStyle w:val="Heading1"/>
        <w:spacing w:after="200" w:before="400" w:lineRule="auto"/>
        <w:rPr/>
      </w:pPr>
      <w:r w:rsidDel="00000000" w:rsidR="00000000" w:rsidRPr="00000000">
        <w:rPr>
          <w:b w:val="1"/>
          <w:bCs w:val="1"/>
          <w:color w:val="1f3864"/>
          <w:sz w:val="30"/>
          <w:szCs w:val="30"/>
          <w:rtl w:val="0"/>
        </w:rPr>
        <w:t xml:space="preserve">8. Producto Final: Relatoría y Documento de Propuestas</w:t>
      </w:r>
      <w:r w:rsidDel="00000000" w:rsidR="00000000" w:rsidRPr="00000000">
        <w:rPr>
          <w:rtl w:val="0"/>
        </w:rPr>
      </w:r>
    </w:p>
    <w:p w:rsidR="00000000" w:rsidDel="00000000" w:rsidP="00000000" w:rsidRDefault="00000000" w:rsidRPr="00000000" w14:paraId="00000078">
      <w:pPr>
        <w:spacing w:after="150" w:line="300" w:lineRule="auto"/>
        <w:rPr/>
      </w:pPr>
      <w:r w:rsidDel="00000000" w:rsidR="00000000" w:rsidRPr="00000000">
        <w:rPr>
          <w:sz w:val="22"/>
          <w:szCs w:val="22"/>
          <w:rtl w:val="0"/>
        </w:rPr>
        <w:t xml:space="preserve">Al concluir el debate, la mesa directiva de Pangea Lab elabora una relatoría con las principales conclusiones, argumentos destacados y, especialmente, las recomendaciones de política pública presentadas en la Ronda 4.</w:t>
      </w:r>
      <w:r w:rsidDel="00000000" w:rsidR="00000000" w:rsidRPr="00000000">
        <w:rPr>
          <w:rtl w:val="0"/>
        </w:rPr>
      </w:r>
    </w:p>
    <w:p w:rsidR="00000000" w:rsidDel="00000000" w:rsidP="00000000" w:rsidRDefault="00000000" w:rsidRPr="00000000" w14:paraId="00000079">
      <w:pPr>
        <w:spacing w:after="150" w:line="300" w:lineRule="auto"/>
        <w:rPr/>
      </w:pPr>
      <w:r w:rsidDel="00000000" w:rsidR="00000000" w:rsidRPr="00000000">
        <w:rPr>
          <w:sz w:val="22"/>
          <w:szCs w:val="22"/>
          <w:rtl w:val="0"/>
        </w:rPr>
        <w:t xml:space="preserve">Este documento se integra a la base de datos de conocimiento colectivo de Pangea Lab y podrá ser presentado al Ministerio de Cultura como insumo para el desarrollo de agendas de trabajo, proyectos o políticas públicas orientadas a fortalecer la representación de la juventud dentro de la agenda cultural nacional.</w:t>
      </w:r>
      <w:r w:rsidDel="00000000" w:rsidR="00000000" w:rsidRPr="00000000">
        <w:rPr>
          <w:rtl w:val="0"/>
        </w:rPr>
      </w:r>
    </w:p>
    <w:p w:rsidR="00000000" w:rsidDel="00000000" w:rsidP="00000000" w:rsidRDefault="00000000" w:rsidRPr="00000000" w14:paraId="0000007A">
      <w:pPr>
        <w:spacing w:after="150" w:line="300" w:lineRule="auto"/>
        <w:rPr/>
      </w:pPr>
      <w:r w:rsidDel="00000000" w:rsidR="00000000" w:rsidRPr="00000000">
        <w:rPr>
          <w:sz w:val="22"/>
          <w:szCs w:val="22"/>
          <w:rtl w:val="0"/>
        </w:rPr>
        <w:t xml:space="preserve">De esta manera, lo que se discute en la sala no termina cuando finaliza el evento: se convierte en conocimiento colectivo con impacto real en la construcción de política pública juvenil.</w:t>
      </w:r>
      <w:r w:rsidDel="00000000" w:rsidR="00000000" w:rsidRPr="00000000">
        <w:rPr>
          <w:rtl w:val="0"/>
        </w:rPr>
      </w:r>
    </w:p>
    <w:p w:rsidR="00000000" w:rsidDel="00000000" w:rsidP="00000000" w:rsidRDefault="00000000" w:rsidRPr="00000000" w14:paraId="0000007B">
      <w:pPr>
        <w:pStyle w:val="Heading1"/>
        <w:spacing w:after="200" w:before="400" w:lineRule="auto"/>
        <w:rPr/>
      </w:pPr>
      <w:r w:rsidDel="00000000" w:rsidR="00000000" w:rsidRPr="00000000">
        <w:rPr>
          <w:b w:val="1"/>
          <w:bCs w:val="1"/>
          <w:color w:val="1f3864"/>
          <w:sz w:val="30"/>
          <w:szCs w:val="30"/>
          <w:rtl w:val="0"/>
        </w:rPr>
        <w:t xml:space="preserve">9. Resumen de Tiempos del Evento</w:t>
      </w:r>
      <w:r w:rsidDel="00000000" w:rsidR="00000000" w:rsidRPr="00000000">
        <w:rPr>
          <w:rtl w:val="0"/>
        </w:rPr>
      </w:r>
    </w:p>
    <w:tbl>
      <w:tblPr>
        <w:tblStyle w:val="Table3"/>
        <w:tblW w:w="10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3200"/>
        <w:gridCol w:w="2500"/>
        <w:gridCol w:w="2100"/>
        <w:tblGridChange w:id="0">
          <w:tblGrid>
            <w:gridCol w:w="2200"/>
            <w:gridCol w:w="3200"/>
            <w:gridCol w:w="2500"/>
            <w:gridCol w:w="2100"/>
          </w:tblGrid>
        </w:tblGridChange>
      </w:tblGrid>
      <w:tr>
        <w:trPr>
          <w:cantSplit w:val="0"/>
          <w:tblHeader w:val="1"/>
        </w:trPr>
        <w:tc>
          <w:tcPr>
            <w:shd w:fill="1f3864" w:val="clear"/>
            <w:tcMar>
              <w:top w:w="80.0" w:type="dxa"/>
              <w:left w:w="100.0" w:type="dxa"/>
              <w:bottom w:w="80.0" w:type="dxa"/>
              <w:right w:w="100.0" w:type="dxa"/>
            </w:tcMar>
            <w:vAlign w:val="center"/>
          </w:tcPr>
          <w:p w:rsidR="00000000" w:rsidDel="00000000" w:rsidP="00000000" w:rsidRDefault="00000000" w:rsidRPr="00000000" w14:paraId="0000007C">
            <w:pPr>
              <w:jc w:val="left"/>
              <w:rPr/>
            </w:pPr>
            <w:r w:rsidDel="00000000" w:rsidR="00000000" w:rsidRPr="00000000">
              <w:rPr>
                <w:b w:val="1"/>
                <w:bCs w:val="1"/>
                <w:color w:val="ffffff"/>
                <w:sz w:val="20"/>
                <w:szCs w:val="20"/>
                <w:rtl w:val="0"/>
              </w:rPr>
              <w:t xml:space="preserve">Ronda</w:t>
            </w:r>
            <w:r w:rsidDel="00000000" w:rsidR="00000000" w:rsidRPr="00000000">
              <w:rPr>
                <w:rtl w:val="0"/>
              </w:rPr>
            </w:r>
          </w:p>
        </w:tc>
        <w:tc>
          <w:tcPr>
            <w:shd w:fill="1f3864" w:val="clear"/>
            <w:tcMar>
              <w:top w:w="80.0" w:type="dxa"/>
              <w:left w:w="100.0" w:type="dxa"/>
              <w:bottom w:w="80.0" w:type="dxa"/>
              <w:right w:w="100.0" w:type="dxa"/>
            </w:tcMar>
            <w:vAlign w:val="center"/>
          </w:tcPr>
          <w:p w:rsidR="00000000" w:rsidDel="00000000" w:rsidP="00000000" w:rsidRDefault="00000000" w:rsidRPr="00000000" w14:paraId="0000007D">
            <w:pPr>
              <w:jc w:val="left"/>
              <w:rPr/>
            </w:pPr>
            <w:r w:rsidDel="00000000" w:rsidR="00000000" w:rsidRPr="00000000">
              <w:rPr>
                <w:b w:val="1"/>
                <w:bCs w:val="1"/>
                <w:color w:val="ffffff"/>
                <w:sz w:val="20"/>
                <w:szCs w:val="20"/>
                <w:rtl w:val="0"/>
              </w:rPr>
              <w:t xml:space="preserve">Participan</w:t>
            </w:r>
            <w:r w:rsidDel="00000000" w:rsidR="00000000" w:rsidRPr="00000000">
              <w:rPr>
                <w:rtl w:val="0"/>
              </w:rPr>
            </w:r>
          </w:p>
        </w:tc>
        <w:tc>
          <w:tcPr>
            <w:shd w:fill="1f3864" w:val="clear"/>
            <w:tcMar>
              <w:top w:w="80.0" w:type="dxa"/>
              <w:left w:w="100.0" w:type="dxa"/>
              <w:bottom w:w="80.0" w:type="dxa"/>
              <w:right w:w="100.0" w:type="dxa"/>
            </w:tcMar>
            <w:vAlign w:val="center"/>
          </w:tcPr>
          <w:p w:rsidR="00000000" w:rsidDel="00000000" w:rsidP="00000000" w:rsidRDefault="00000000" w:rsidRPr="00000000" w14:paraId="0000007E">
            <w:pPr>
              <w:jc w:val="center"/>
              <w:rPr/>
            </w:pPr>
            <w:r w:rsidDel="00000000" w:rsidR="00000000" w:rsidRPr="00000000">
              <w:rPr>
                <w:b w:val="1"/>
                <w:bCs w:val="1"/>
                <w:color w:val="ffffff"/>
                <w:sz w:val="20"/>
                <w:szCs w:val="20"/>
                <w:rtl w:val="0"/>
              </w:rPr>
              <w:t xml:space="preserve">Tiempo por turno</w:t>
            </w:r>
            <w:r w:rsidDel="00000000" w:rsidR="00000000" w:rsidRPr="00000000">
              <w:rPr>
                <w:rtl w:val="0"/>
              </w:rPr>
            </w:r>
          </w:p>
        </w:tc>
        <w:tc>
          <w:tcPr>
            <w:shd w:fill="1f3864" w:val="clear"/>
            <w:tcMar>
              <w:top w:w="80.0" w:type="dxa"/>
              <w:left w:w="100.0" w:type="dxa"/>
              <w:bottom w:w="80.0" w:type="dxa"/>
              <w:right w:w="100.0" w:type="dxa"/>
            </w:tcMar>
            <w:vAlign w:val="center"/>
          </w:tcPr>
          <w:p w:rsidR="00000000" w:rsidDel="00000000" w:rsidP="00000000" w:rsidRDefault="00000000" w:rsidRPr="00000000" w14:paraId="0000007F">
            <w:pPr>
              <w:jc w:val="center"/>
              <w:rPr/>
            </w:pPr>
            <w:r w:rsidDel="00000000" w:rsidR="00000000" w:rsidRPr="00000000">
              <w:rPr>
                <w:b w:val="1"/>
                <w:bCs w:val="1"/>
                <w:color w:val="ffffff"/>
                <w:sz w:val="20"/>
                <w:szCs w:val="20"/>
                <w:rtl w:val="0"/>
              </w:rPr>
              <w:t xml:space="preserve">Receso posterior</w:t>
            </w:r>
            <w:r w:rsidDel="00000000" w:rsidR="00000000" w:rsidRPr="00000000">
              <w:rPr>
                <w:rtl w:val="0"/>
              </w:rPr>
            </w:r>
          </w:p>
        </w:tc>
      </w:tr>
      <w:tr>
        <w:trPr>
          <w:cantSplit w:val="0"/>
          <w:tblHeader w:val="0"/>
        </w:trPr>
        <w:tc>
          <w:tcPr>
            <w:shd w:fill="f2f2f2" w:val="clear"/>
            <w:tcMar>
              <w:top w:w="80.0" w:type="dxa"/>
              <w:left w:w="100.0" w:type="dxa"/>
              <w:bottom w:w="80.0" w:type="dxa"/>
              <w:right w:w="100.0" w:type="dxa"/>
            </w:tcMar>
            <w:vAlign w:val="center"/>
          </w:tcPr>
          <w:p w:rsidR="00000000" w:rsidDel="00000000" w:rsidP="00000000" w:rsidRDefault="00000000" w:rsidRPr="00000000" w14:paraId="00000080">
            <w:pPr>
              <w:jc w:val="left"/>
              <w:rPr/>
            </w:pPr>
            <w:r w:rsidDel="00000000" w:rsidR="00000000" w:rsidRPr="00000000">
              <w:rPr>
                <w:b w:val="0"/>
                <w:bCs w:val="0"/>
                <w:sz w:val="20"/>
                <w:szCs w:val="20"/>
                <w:rtl w:val="0"/>
              </w:rPr>
              <w:t xml:space="preserve">Ronda 1</w:t>
            </w:r>
            <w:r w:rsidDel="00000000" w:rsidR="00000000" w:rsidRPr="00000000">
              <w:rPr>
                <w:rtl w:val="0"/>
              </w:rPr>
            </w:r>
          </w:p>
        </w:tc>
        <w:tc>
          <w:tcPr>
            <w:shd w:fill="f2f2f2" w:val="clear"/>
            <w:tcMar>
              <w:top w:w="80.0" w:type="dxa"/>
              <w:left w:w="100.0" w:type="dxa"/>
              <w:bottom w:w="80.0" w:type="dxa"/>
              <w:right w:w="100.0" w:type="dxa"/>
            </w:tcMar>
            <w:vAlign w:val="center"/>
          </w:tcPr>
          <w:p w:rsidR="00000000" w:rsidDel="00000000" w:rsidP="00000000" w:rsidRDefault="00000000" w:rsidRPr="00000000" w14:paraId="00000081">
            <w:pPr>
              <w:jc w:val="left"/>
              <w:rPr/>
            </w:pPr>
            <w:r w:rsidDel="00000000" w:rsidR="00000000" w:rsidRPr="00000000">
              <w:rPr>
                <w:b w:val="0"/>
                <w:bCs w:val="0"/>
                <w:sz w:val="20"/>
                <w:szCs w:val="20"/>
                <w:rtl w:val="0"/>
              </w:rPr>
              <w:t xml:space="preserve">20 duplas (primer debatiente)</w:t>
            </w:r>
            <w:r w:rsidDel="00000000" w:rsidR="00000000" w:rsidRPr="00000000">
              <w:rPr>
                <w:rtl w:val="0"/>
              </w:rPr>
            </w:r>
          </w:p>
        </w:tc>
        <w:tc>
          <w:tcPr>
            <w:shd w:fill="f2f2f2" w:val="clear"/>
            <w:tcMar>
              <w:top w:w="80.0" w:type="dxa"/>
              <w:left w:w="100.0" w:type="dxa"/>
              <w:bottom w:w="80.0" w:type="dxa"/>
              <w:right w:w="100.0" w:type="dxa"/>
            </w:tcMar>
            <w:vAlign w:val="center"/>
          </w:tcPr>
          <w:p w:rsidR="00000000" w:rsidDel="00000000" w:rsidP="00000000" w:rsidRDefault="00000000" w:rsidRPr="00000000" w14:paraId="00000082">
            <w:pPr>
              <w:jc w:val="center"/>
              <w:rPr/>
            </w:pPr>
            <w:r w:rsidDel="00000000" w:rsidR="00000000" w:rsidRPr="00000000">
              <w:rPr>
                <w:b w:val="0"/>
                <w:bCs w:val="0"/>
                <w:sz w:val="20"/>
                <w:szCs w:val="20"/>
                <w:rtl w:val="0"/>
              </w:rPr>
              <w:t xml:space="preserve">2 min</w:t>
            </w:r>
            <w:r w:rsidDel="00000000" w:rsidR="00000000" w:rsidRPr="00000000">
              <w:rPr>
                <w:rtl w:val="0"/>
              </w:rPr>
            </w:r>
          </w:p>
        </w:tc>
        <w:tc>
          <w:tcPr>
            <w:shd w:fill="f2f2f2" w:val="clear"/>
            <w:tcMar>
              <w:top w:w="80.0" w:type="dxa"/>
              <w:left w:w="100.0" w:type="dxa"/>
              <w:bottom w:w="80.0" w:type="dxa"/>
              <w:right w:w="100.0" w:type="dxa"/>
            </w:tcMar>
            <w:vAlign w:val="center"/>
          </w:tcPr>
          <w:p w:rsidR="00000000" w:rsidDel="00000000" w:rsidP="00000000" w:rsidRDefault="00000000" w:rsidRPr="00000000" w14:paraId="00000083">
            <w:pPr>
              <w:jc w:val="center"/>
              <w:rPr/>
            </w:pPr>
            <w:r w:rsidDel="00000000" w:rsidR="00000000" w:rsidRPr="00000000">
              <w:rPr>
                <w:b w:val="0"/>
                <w:bCs w:val="0"/>
                <w:sz w:val="20"/>
                <w:szCs w:val="20"/>
                <w:rtl w:val="0"/>
              </w:rPr>
              <w:t xml:space="preserve">10 min</w:t>
            </w:r>
            <w:r w:rsidDel="00000000" w:rsidR="00000000" w:rsidRPr="00000000">
              <w:rPr>
                <w:rtl w:val="0"/>
              </w:rPr>
            </w:r>
          </w:p>
        </w:tc>
      </w:tr>
      <w:tr>
        <w:trPr>
          <w:cantSplit w:val="0"/>
          <w:tblHeader w:val="0"/>
        </w:trPr>
        <w:tc>
          <w:tcPr>
            <w:tcMar>
              <w:top w:w="80.0" w:type="dxa"/>
              <w:left w:w="100.0" w:type="dxa"/>
              <w:bottom w:w="80.0" w:type="dxa"/>
              <w:right w:w="100.0" w:type="dxa"/>
            </w:tcMar>
            <w:vAlign w:val="center"/>
          </w:tcPr>
          <w:p w:rsidR="00000000" w:rsidDel="00000000" w:rsidP="00000000" w:rsidRDefault="00000000" w:rsidRPr="00000000" w14:paraId="00000084">
            <w:pPr>
              <w:jc w:val="left"/>
              <w:rPr/>
            </w:pPr>
            <w:r w:rsidDel="00000000" w:rsidR="00000000" w:rsidRPr="00000000">
              <w:rPr>
                <w:b w:val="0"/>
                <w:bCs w:val="0"/>
                <w:sz w:val="20"/>
                <w:szCs w:val="20"/>
                <w:rtl w:val="0"/>
              </w:rPr>
              <w:t xml:space="preserve">Ronda 2</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85">
            <w:pPr>
              <w:jc w:val="left"/>
              <w:rPr/>
            </w:pPr>
            <w:r w:rsidDel="00000000" w:rsidR="00000000" w:rsidRPr="00000000">
              <w:rPr>
                <w:b w:val="0"/>
                <w:bCs w:val="0"/>
                <w:sz w:val="20"/>
                <w:szCs w:val="20"/>
                <w:rtl w:val="0"/>
              </w:rPr>
              <w:t xml:space="preserve">20 duplas (segundo debatiente)</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86">
            <w:pPr>
              <w:jc w:val="center"/>
              <w:rPr/>
            </w:pPr>
            <w:r w:rsidDel="00000000" w:rsidR="00000000" w:rsidRPr="00000000">
              <w:rPr>
                <w:b w:val="0"/>
                <w:bCs w:val="0"/>
                <w:sz w:val="20"/>
                <w:szCs w:val="20"/>
                <w:rtl w:val="0"/>
              </w:rPr>
              <w:t xml:space="preserve">2 min</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87">
            <w:pPr>
              <w:jc w:val="center"/>
              <w:rPr/>
            </w:pPr>
            <w:r w:rsidDel="00000000" w:rsidR="00000000" w:rsidRPr="00000000">
              <w:rPr>
                <w:b w:val="0"/>
                <w:bCs w:val="0"/>
                <w:sz w:val="20"/>
                <w:szCs w:val="20"/>
                <w:rtl w:val="0"/>
              </w:rPr>
              <w:t xml:space="preserve">10 min</w:t>
            </w:r>
            <w:r w:rsidDel="00000000" w:rsidR="00000000" w:rsidRPr="00000000">
              <w:rPr>
                <w:rtl w:val="0"/>
              </w:rPr>
            </w:r>
          </w:p>
        </w:tc>
      </w:tr>
      <w:tr>
        <w:trPr>
          <w:cantSplit w:val="0"/>
          <w:tblHeader w:val="0"/>
        </w:trPr>
        <w:tc>
          <w:tcPr>
            <w:shd w:fill="f2f2f2" w:val="clear"/>
            <w:tcMar>
              <w:top w:w="80.0" w:type="dxa"/>
              <w:left w:w="100.0" w:type="dxa"/>
              <w:bottom w:w="80.0" w:type="dxa"/>
              <w:right w:w="100.0" w:type="dxa"/>
            </w:tcMar>
            <w:vAlign w:val="center"/>
          </w:tcPr>
          <w:p w:rsidR="00000000" w:rsidDel="00000000" w:rsidP="00000000" w:rsidRDefault="00000000" w:rsidRPr="00000000" w14:paraId="00000088">
            <w:pPr>
              <w:jc w:val="left"/>
              <w:rPr/>
            </w:pPr>
            <w:r w:rsidDel="00000000" w:rsidR="00000000" w:rsidRPr="00000000">
              <w:rPr>
                <w:b w:val="0"/>
                <w:bCs w:val="0"/>
                <w:sz w:val="20"/>
                <w:szCs w:val="20"/>
                <w:rtl w:val="0"/>
              </w:rPr>
              <w:t xml:space="preserve">Ronda 3</w:t>
            </w:r>
            <w:r w:rsidDel="00000000" w:rsidR="00000000" w:rsidRPr="00000000">
              <w:rPr>
                <w:rtl w:val="0"/>
              </w:rPr>
            </w:r>
          </w:p>
        </w:tc>
        <w:tc>
          <w:tcPr>
            <w:shd w:fill="f2f2f2" w:val="clear"/>
            <w:tcMar>
              <w:top w:w="80.0" w:type="dxa"/>
              <w:left w:w="100.0" w:type="dxa"/>
              <w:bottom w:w="80.0" w:type="dxa"/>
              <w:right w:w="100.0" w:type="dxa"/>
            </w:tcMar>
            <w:vAlign w:val="center"/>
          </w:tcPr>
          <w:p w:rsidR="00000000" w:rsidDel="00000000" w:rsidP="00000000" w:rsidRDefault="00000000" w:rsidRPr="00000000" w14:paraId="00000089">
            <w:pPr>
              <w:jc w:val="left"/>
              <w:rPr/>
            </w:pPr>
            <w:r w:rsidDel="00000000" w:rsidR="00000000" w:rsidRPr="00000000">
              <w:rPr>
                <w:b w:val="0"/>
                <w:bCs w:val="0"/>
                <w:sz w:val="20"/>
                <w:szCs w:val="20"/>
                <w:rtl w:val="0"/>
              </w:rPr>
              <w:t xml:space="preserve">20 duplas (crossfire abierto)</w:t>
            </w:r>
            <w:r w:rsidDel="00000000" w:rsidR="00000000" w:rsidRPr="00000000">
              <w:rPr>
                <w:rtl w:val="0"/>
              </w:rPr>
            </w:r>
          </w:p>
        </w:tc>
        <w:tc>
          <w:tcPr>
            <w:shd w:fill="f2f2f2" w:val="clear"/>
            <w:tcMar>
              <w:top w:w="80.0" w:type="dxa"/>
              <w:left w:w="100.0" w:type="dxa"/>
              <w:bottom w:w="80.0" w:type="dxa"/>
              <w:right w:w="100.0" w:type="dxa"/>
            </w:tcMar>
            <w:vAlign w:val="center"/>
          </w:tcPr>
          <w:p w:rsidR="00000000" w:rsidDel="00000000" w:rsidP="00000000" w:rsidRDefault="00000000" w:rsidRPr="00000000" w14:paraId="0000008A">
            <w:pPr>
              <w:jc w:val="center"/>
              <w:rPr/>
            </w:pPr>
            <w:r w:rsidDel="00000000" w:rsidR="00000000" w:rsidRPr="00000000">
              <w:rPr>
                <w:b w:val="0"/>
                <w:bCs w:val="0"/>
                <w:sz w:val="20"/>
                <w:szCs w:val="20"/>
                <w:rtl w:val="0"/>
              </w:rPr>
              <w:t xml:space="preserve">Bloques cronometrados</w:t>
            </w:r>
            <w:r w:rsidDel="00000000" w:rsidR="00000000" w:rsidRPr="00000000">
              <w:rPr>
                <w:rtl w:val="0"/>
              </w:rPr>
            </w:r>
          </w:p>
        </w:tc>
        <w:tc>
          <w:tcPr>
            <w:shd w:fill="f2f2f2" w:val="clear"/>
            <w:tcMar>
              <w:top w:w="80.0" w:type="dxa"/>
              <w:left w:w="100.0" w:type="dxa"/>
              <w:bottom w:w="80.0" w:type="dxa"/>
              <w:right w:w="100.0" w:type="dxa"/>
            </w:tcMar>
            <w:vAlign w:val="center"/>
          </w:tcPr>
          <w:p w:rsidR="00000000" w:rsidDel="00000000" w:rsidP="00000000" w:rsidRDefault="00000000" w:rsidRPr="00000000" w14:paraId="0000008B">
            <w:pPr>
              <w:jc w:val="center"/>
              <w:rPr/>
            </w:pPr>
            <w:r w:rsidDel="00000000" w:rsidR="00000000" w:rsidRPr="00000000">
              <w:rPr>
                <w:b w:val="0"/>
                <w:bCs w:val="0"/>
                <w:sz w:val="20"/>
                <w:szCs w:val="20"/>
                <w:rtl w:val="0"/>
              </w:rPr>
              <w:t xml:space="preserve">10 min</w:t>
            </w:r>
            <w:r w:rsidDel="00000000" w:rsidR="00000000" w:rsidRPr="00000000">
              <w:rPr>
                <w:rtl w:val="0"/>
              </w:rPr>
            </w:r>
          </w:p>
        </w:tc>
      </w:tr>
      <w:tr>
        <w:trPr>
          <w:cantSplit w:val="0"/>
          <w:tblHeader w:val="0"/>
        </w:trPr>
        <w:tc>
          <w:tcPr>
            <w:tcMar>
              <w:top w:w="80.0" w:type="dxa"/>
              <w:left w:w="100.0" w:type="dxa"/>
              <w:bottom w:w="80.0" w:type="dxa"/>
              <w:right w:w="100.0" w:type="dxa"/>
            </w:tcMar>
            <w:vAlign w:val="center"/>
          </w:tcPr>
          <w:p w:rsidR="00000000" w:rsidDel="00000000" w:rsidP="00000000" w:rsidRDefault="00000000" w:rsidRPr="00000000" w14:paraId="0000008C">
            <w:pPr>
              <w:jc w:val="left"/>
              <w:rPr/>
            </w:pPr>
            <w:r w:rsidDel="00000000" w:rsidR="00000000" w:rsidRPr="00000000">
              <w:rPr>
                <w:b w:val="0"/>
                <w:bCs w:val="0"/>
                <w:sz w:val="20"/>
                <w:szCs w:val="20"/>
                <w:rtl w:val="0"/>
              </w:rPr>
              <w:t xml:space="preserve">Ronda 4 (Final)</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8D">
            <w:pPr>
              <w:jc w:val="left"/>
              <w:rPr/>
            </w:pPr>
            <w:r w:rsidDel="00000000" w:rsidR="00000000" w:rsidRPr="00000000">
              <w:rPr>
                <w:b w:val="0"/>
                <w:bCs w:val="0"/>
                <w:sz w:val="20"/>
                <w:szCs w:val="20"/>
                <w:rtl w:val="0"/>
              </w:rPr>
              <w:t xml:space="preserve">8 duplas finalistas (16 personas)</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8E">
            <w:pPr>
              <w:jc w:val="center"/>
              <w:rPr/>
            </w:pPr>
            <w:r w:rsidDel="00000000" w:rsidR="00000000" w:rsidRPr="00000000">
              <w:rPr>
                <w:b w:val="0"/>
                <w:bCs w:val="0"/>
                <w:sz w:val="20"/>
                <w:szCs w:val="20"/>
                <w:rtl w:val="0"/>
              </w:rPr>
              <w:t xml:space="preserve">2 min por orador</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8F">
            <w:pPr>
              <w:jc w:val="center"/>
              <w:rPr/>
            </w:pPr>
            <w:r w:rsidDel="00000000" w:rsidR="00000000" w:rsidRPr="00000000">
              <w:rPr>
                <w:b w:val="0"/>
                <w:bCs w:val="0"/>
                <w:sz w:val="20"/>
                <w:szCs w:val="20"/>
                <w:rtl w:val="0"/>
              </w:rPr>
              <w:t xml:space="preserve">—</w:t>
            </w:r>
            <w:r w:rsidDel="00000000" w:rsidR="00000000" w:rsidRPr="00000000">
              <w:rPr>
                <w:rtl w:val="0"/>
              </w:rPr>
            </w:r>
          </w:p>
        </w:tc>
      </w:tr>
    </w:tbl>
    <w:p w:rsidR="00000000" w:rsidDel="00000000" w:rsidP="00000000" w:rsidRDefault="00000000" w:rsidRPr="00000000" w14:paraId="00000090">
      <w:pPr>
        <w:spacing w:before="500" w:lineRule="auto"/>
        <w:rPr/>
      </w:pPr>
      <w:r w:rsidDel="00000000" w:rsidR="00000000" w:rsidRPr="00000000">
        <w:rPr>
          <w:rtl w:val="0"/>
        </w:rPr>
      </w:r>
    </w:p>
    <w:p w:rsidR="00000000" w:rsidDel="00000000" w:rsidP="00000000" w:rsidRDefault="00000000" w:rsidRPr="00000000" w14:paraId="00000091">
      <w:pPr>
        <w:pBdr>
          <w:bottom w:color="b08d57" w:space="4" w:sz="8" w:val="single"/>
        </w:pBdr>
        <w:spacing w:after="300" w:lineRule="auto"/>
        <w:rPr/>
      </w:pPr>
      <w:r w:rsidDel="00000000" w:rsidR="00000000" w:rsidRPr="00000000">
        <w:rPr>
          <w:rtl w:val="0"/>
        </w:rPr>
      </w:r>
    </w:p>
    <w:p w:rsidR="00000000" w:rsidDel="00000000" w:rsidP="00000000" w:rsidRDefault="00000000" w:rsidRPr="00000000" w14:paraId="00000092">
      <w:pPr>
        <w:jc w:val="center"/>
        <w:rPr/>
      </w:pPr>
      <w:r w:rsidDel="00000000" w:rsidR="00000000" w:rsidRPr="00000000">
        <w:rPr>
          <w:i w:val="1"/>
          <w:iCs w:val="1"/>
          <w:color w:val="808080"/>
          <w:sz w:val="20"/>
          <w:szCs w:val="20"/>
          <w:rtl w:val="0"/>
        </w:rPr>
        <w:t xml:space="preserve">Pangea Lab — Comprender · Conversar · Construir</w:t>
      </w:r>
      <w:r w:rsidDel="00000000" w:rsidR="00000000" w:rsidRPr="00000000">
        <w:rPr>
          <w:rtl w:val="0"/>
        </w:rPr>
      </w:r>
    </w:p>
    <w:sectPr>
      <w:pgSz w:h="15840" w:w="12240" w:orient="portrait"/>
      <w:pgMar w:bottom="1000" w:top="1000" w:left="1100" w:right="11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